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8D8DFA" w14:textId="08E38DAA" w:rsidR="0007566C" w:rsidRPr="00DB5127" w:rsidRDefault="0007566C" w:rsidP="0007566C">
      <w:pPr>
        <w:widowControl w:val="0"/>
        <w:tabs>
          <w:tab w:val="right" w:pos="9638"/>
        </w:tabs>
        <w:spacing w:after="0"/>
        <w:ind w:right="-57"/>
        <w:rPr>
          <w:rFonts w:ascii="Arial" w:eastAsia="Arial Unicode MS" w:hAnsi="Arial" w:cs="Arial"/>
          <w:b/>
          <w:bCs/>
          <w:noProof/>
          <w:sz w:val="24"/>
        </w:rPr>
      </w:pPr>
      <w:r w:rsidRPr="000F670A">
        <w:rPr>
          <w:rFonts w:ascii="Arial" w:eastAsia="Arial Unicode MS" w:hAnsi="Arial" w:cs="Arial"/>
          <w:b/>
          <w:bCs/>
          <w:noProof/>
          <w:sz w:val="24"/>
        </w:rPr>
        <w:t>SA WG2 Meeting #</w:t>
      </w:r>
      <w:r>
        <w:rPr>
          <w:rFonts w:ascii="Arial" w:eastAsia="Arial Unicode MS" w:hAnsi="Arial" w:cs="Arial"/>
          <w:b/>
          <w:bCs/>
          <w:noProof/>
          <w:sz w:val="24"/>
        </w:rPr>
        <w:t>130</w:t>
      </w:r>
      <w:r w:rsidRPr="00DB5127">
        <w:rPr>
          <w:rFonts w:ascii="Arial" w:eastAsia="Arial Unicode MS" w:hAnsi="Arial" w:cs="Arial"/>
          <w:b/>
          <w:bCs/>
          <w:noProof/>
          <w:sz w:val="24"/>
        </w:rPr>
        <w:tab/>
      </w:r>
      <w:r w:rsidRPr="00C51A8A">
        <w:rPr>
          <w:rFonts w:ascii="Arial" w:eastAsia="Arial Unicode MS" w:hAnsi="Arial" w:cs="Arial"/>
          <w:b/>
          <w:bCs/>
          <w:noProof/>
          <w:sz w:val="24"/>
        </w:rPr>
        <w:t>S2-1</w:t>
      </w:r>
      <w:r>
        <w:rPr>
          <w:rFonts w:ascii="Arial" w:eastAsia="Arial Unicode MS" w:hAnsi="Arial" w:cs="Arial"/>
          <w:b/>
          <w:bCs/>
          <w:noProof/>
          <w:sz w:val="24"/>
        </w:rPr>
        <w:t>9</w:t>
      </w:r>
      <w:r w:rsidR="001E7926">
        <w:rPr>
          <w:rFonts w:ascii="Arial" w:eastAsia="Arial Unicode MS" w:hAnsi="Arial" w:cs="Arial"/>
          <w:b/>
          <w:bCs/>
          <w:noProof/>
          <w:sz w:val="24"/>
        </w:rPr>
        <w:t>00394</w:t>
      </w:r>
      <w:bookmarkStart w:id="0" w:name="_GoBack"/>
      <w:bookmarkEnd w:id="0"/>
    </w:p>
    <w:p w14:paraId="708D8DFB" w14:textId="0D149D08" w:rsidR="0007566C" w:rsidRPr="00DB5127" w:rsidRDefault="0007566C" w:rsidP="0007566C">
      <w:pPr>
        <w:widowControl w:val="0"/>
        <w:pBdr>
          <w:bottom w:val="single" w:sz="4" w:space="1" w:color="auto"/>
        </w:pBdr>
        <w:tabs>
          <w:tab w:val="right" w:pos="9638"/>
        </w:tabs>
        <w:spacing w:after="0"/>
        <w:ind w:right="-57"/>
        <w:rPr>
          <w:rFonts w:ascii="Arial" w:eastAsia="Arial Unicode MS" w:hAnsi="Arial" w:cs="Arial"/>
          <w:b/>
          <w:bCs/>
          <w:noProof/>
          <w:sz w:val="24"/>
        </w:rPr>
      </w:pPr>
      <w:r>
        <w:rPr>
          <w:rFonts w:ascii="Arial" w:eastAsia="Arial Unicode MS" w:hAnsi="Arial" w:cs="Arial"/>
          <w:b/>
          <w:bCs/>
          <w:noProof/>
          <w:sz w:val="24"/>
        </w:rPr>
        <w:t>January</w:t>
      </w:r>
      <w:r w:rsidRPr="000F670A">
        <w:rPr>
          <w:rFonts w:ascii="Arial" w:eastAsia="Arial Unicode MS" w:hAnsi="Arial" w:cs="Arial"/>
          <w:b/>
          <w:bCs/>
          <w:noProof/>
          <w:sz w:val="24"/>
        </w:rPr>
        <w:t xml:space="preserve"> 2</w:t>
      </w:r>
      <w:r>
        <w:rPr>
          <w:rFonts w:ascii="Arial" w:eastAsia="Arial Unicode MS" w:hAnsi="Arial" w:cs="Arial"/>
          <w:b/>
          <w:bCs/>
          <w:noProof/>
          <w:sz w:val="24"/>
        </w:rPr>
        <w:t>1</w:t>
      </w:r>
      <w:r w:rsidRPr="000F670A">
        <w:rPr>
          <w:rFonts w:ascii="Arial" w:eastAsia="Arial Unicode MS" w:hAnsi="Arial" w:cs="Arial"/>
          <w:b/>
          <w:bCs/>
          <w:noProof/>
          <w:sz w:val="24"/>
        </w:rPr>
        <w:t xml:space="preserve"> - </w:t>
      </w:r>
      <w:r>
        <w:rPr>
          <w:rFonts w:ascii="Arial" w:eastAsia="Arial Unicode MS" w:hAnsi="Arial" w:cs="Arial"/>
          <w:b/>
          <w:bCs/>
          <w:noProof/>
          <w:sz w:val="24"/>
        </w:rPr>
        <w:t>25</w:t>
      </w:r>
      <w:r w:rsidRPr="000F670A">
        <w:rPr>
          <w:rFonts w:ascii="Arial" w:eastAsia="Arial Unicode MS" w:hAnsi="Arial" w:cs="Arial"/>
          <w:b/>
          <w:bCs/>
          <w:noProof/>
          <w:sz w:val="24"/>
        </w:rPr>
        <w:t>, 201</w:t>
      </w:r>
      <w:r>
        <w:rPr>
          <w:rFonts w:ascii="Arial" w:eastAsia="Arial Unicode MS" w:hAnsi="Arial" w:cs="Arial"/>
          <w:b/>
          <w:bCs/>
          <w:noProof/>
          <w:sz w:val="24"/>
        </w:rPr>
        <w:t>9</w:t>
      </w:r>
      <w:r w:rsidRPr="000F670A">
        <w:rPr>
          <w:rFonts w:ascii="Arial" w:eastAsia="Arial Unicode MS" w:hAnsi="Arial" w:cs="Arial"/>
          <w:b/>
          <w:bCs/>
          <w:noProof/>
          <w:sz w:val="24"/>
        </w:rPr>
        <w:t xml:space="preserve">, </w:t>
      </w:r>
      <w:r>
        <w:rPr>
          <w:rFonts w:ascii="Arial" w:eastAsia="Arial Unicode MS" w:hAnsi="Arial" w:cs="Arial"/>
          <w:b/>
          <w:bCs/>
          <w:noProof/>
          <w:sz w:val="24"/>
        </w:rPr>
        <w:t>Kochi, India</w:t>
      </w:r>
      <w:r w:rsidR="001E7926">
        <w:rPr>
          <w:rFonts w:ascii="Arial" w:eastAsia="Arial Unicode MS" w:hAnsi="Arial" w:cs="Arial"/>
          <w:b/>
          <w:bCs/>
          <w:noProof/>
          <w:sz w:val="18"/>
        </w:rPr>
        <w:tab/>
      </w:r>
    </w:p>
    <w:p w14:paraId="708D8DFC" w14:textId="77777777" w:rsidR="0007566C" w:rsidRPr="00DB5127" w:rsidRDefault="0007566C" w:rsidP="0007566C">
      <w:pPr>
        <w:jc w:val="both"/>
        <w:rPr>
          <w:rFonts w:ascii="Arial" w:eastAsia="Malgun Gothic" w:hAnsi="Arial" w:cs="Arial"/>
        </w:rPr>
      </w:pPr>
    </w:p>
    <w:p w14:paraId="708D8DFD" w14:textId="77777777" w:rsidR="0007566C" w:rsidRPr="00DB5127" w:rsidRDefault="0007566C" w:rsidP="0007566C">
      <w:pPr>
        <w:ind w:left="2127" w:hanging="2127"/>
        <w:jc w:val="both"/>
        <w:rPr>
          <w:rFonts w:ascii="Arial" w:eastAsia="Malgun Gothic" w:hAnsi="Arial" w:cs="Arial"/>
          <w:b/>
        </w:rPr>
      </w:pPr>
      <w:r w:rsidRPr="00DB5127">
        <w:rPr>
          <w:rFonts w:ascii="Arial" w:eastAsia="Malgun Gothic" w:hAnsi="Arial" w:cs="Arial"/>
          <w:b/>
        </w:rPr>
        <w:t>Source:</w:t>
      </w:r>
      <w:r w:rsidRPr="00DB5127">
        <w:rPr>
          <w:rFonts w:ascii="Arial" w:eastAsia="Malgun Gothic" w:hAnsi="Arial" w:cs="Arial"/>
          <w:b/>
        </w:rPr>
        <w:tab/>
      </w:r>
      <w:r w:rsidR="002A3C1C">
        <w:rPr>
          <w:rFonts w:ascii="Arial" w:eastAsia="Malgun Gothic" w:hAnsi="Arial" w:cs="Arial"/>
          <w:b/>
        </w:rPr>
        <w:t>Convida Wireless LLC</w:t>
      </w:r>
    </w:p>
    <w:p w14:paraId="708D8DFE" w14:textId="6D2AD26E" w:rsidR="0007566C" w:rsidRPr="00DB5127" w:rsidRDefault="0007566C" w:rsidP="0007566C">
      <w:pPr>
        <w:ind w:left="2127" w:hanging="2127"/>
        <w:jc w:val="both"/>
        <w:rPr>
          <w:rFonts w:ascii="Arial" w:eastAsia="Malgun Gothic" w:hAnsi="Arial" w:cs="Arial"/>
          <w:b/>
        </w:rPr>
      </w:pPr>
      <w:r w:rsidRPr="00DB5127">
        <w:rPr>
          <w:rFonts w:ascii="Arial" w:eastAsia="Malgun Gothic" w:hAnsi="Arial" w:cs="Arial"/>
          <w:b/>
        </w:rPr>
        <w:t>Title:</w:t>
      </w:r>
      <w:r w:rsidRPr="00DB5127">
        <w:rPr>
          <w:rFonts w:ascii="Arial" w:eastAsia="Malgun Gothic" w:hAnsi="Arial" w:cs="Arial"/>
          <w:b/>
        </w:rPr>
        <w:tab/>
      </w:r>
      <w:r w:rsidR="001E7926">
        <w:rPr>
          <w:rFonts w:ascii="Arial" w:eastAsia="Malgun Gothic" w:hAnsi="Arial" w:cs="Arial"/>
          <w:b/>
        </w:rPr>
        <w:t xml:space="preserve">Discussion on </w:t>
      </w:r>
      <w:r w:rsidR="00AB0CCE">
        <w:rPr>
          <w:rFonts w:ascii="Arial" w:eastAsia="Malgun Gothic" w:hAnsi="Arial" w:cs="Arial"/>
          <w:b/>
        </w:rPr>
        <w:t>IWK-NEF</w:t>
      </w:r>
      <w:r w:rsidR="001E7926">
        <w:rPr>
          <w:rFonts w:ascii="Arial" w:eastAsia="Malgun Gothic" w:hAnsi="Arial" w:cs="Arial"/>
          <w:b/>
        </w:rPr>
        <w:t xml:space="preserve"> Configuration and the Interworking Scenarios</w:t>
      </w:r>
    </w:p>
    <w:p w14:paraId="708D8DFF" w14:textId="77777777" w:rsidR="0007566C" w:rsidRPr="00DB5127" w:rsidRDefault="0007566C" w:rsidP="0007566C">
      <w:pPr>
        <w:ind w:left="2127" w:hanging="2127"/>
        <w:jc w:val="both"/>
        <w:rPr>
          <w:rFonts w:ascii="Arial" w:eastAsia="Malgun Gothic" w:hAnsi="Arial" w:cs="Arial"/>
          <w:b/>
        </w:rPr>
      </w:pPr>
      <w:r w:rsidRPr="00DB5127">
        <w:rPr>
          <w:rFonts w:ascii="Arial" w:eastAsia="Malgun Gothic" w:hAnsi="Arial" w:cs="Arial"/>
          <w:b/>
        </w:rPr>
        <w:t>Document for:</w:t>
      </w:r>
      <w:r w:rsidRPr="00DB5127">
        <w:rPr>
          <w:rFonts w:ascii="Arial" w:eastAsia="Malgun Gothic" w:hAnsi="Arial" w:cs="Arial"/>
          <w:b/>
        </w:rPr>
        <w:tab/>
      </w:r>
      <w:r>
        <w:rPr>
          <w:rFonts w:ascii="Arial" w:eastAsia="Malgun Gothic" w:hAnsi="Arial" w:cs="Arial"/>
          <w:b/>
        </w:rPr>
        <w:t>Discussion and agreement</w:t>
      </w:r>
    </w:p>
    <w:p w14:paraId="708D8E00" w14:textId="77777777" w:rsidR="0007566C" w:rsidRPr="00DB5127" w:rsidRDefault="0007566C" w:rsidP="0007566C">
      <w:pPr>
        <w:ind w:left="2127" w:hanging="2127"/>
        <w:jc w:val="both"/>
        <w:rPr>
          <w:rFonts w:ascii="Arial" w:eastAsia="Malgun Gothic" w:hAnsi="Arial" w:cs="Arial"/>
          <w:b/>
        </w:rPr>
      </w:pPr>
      <w:r w:rsidRPr="00DB5127">
        <w:rPr>
          <w:rFonts w:ascii="Arial" w:eastAsia="Malgun Gothic" w:hAnsi="Arial" w:cs="Arial"/>
          <w:b/>
        </w:rPr>
        <w:t>Agenda Item:</w:t>
      </w:r>
      <w:r w:rsidRPr="00DB5127">
        <w:rPr>
          <w:rFonts w:ascii="Arial" w:eastAsia="Malgun Gothic" w:hAnsi="Arial" w:cs="Arial"/>
          <w:b/>
        </w:rPr>
        <w:tab/>
      </w:r>
      <w:r w:rsidR="002A3C1C">
        <w:rPr>
          <w:rFonts w:ascii="Arial" w:eastAsia="Malgun Gothic" w:hAnsi="Arial" w:cs="Arial"/>
          <w:b/>
        </w:rPr>
        <w:t>6.9</w:t>
      </w:r>
    </w:p>
    <w:p w14:paraId="708D8E01" w14:textId="46B85147" w:rsidR="0007566C" w:rsidRPr="00DB5127" w:rsidRDefault="0007566C" w:rsidP="0007566C">
      <w:pPr>
        <w:ind w:left="2127" w:hanging="2127"/>
        <w:jc w:val="both"/>
        <w:rPr>
          <w:rFonts w:ascii="Arial" w:eastAsia="Malgun Gothic" w:hAnsi="Arial" w:cs="Arial"/>
          <w:b/>
        </w:rPr>
      </w:pPr>
      <w:r w:rsidRPr="00DB5127">
        <w:rPr>
          <w:rFonts w:ascii="Arial" w:eastAsia="Malgun Gothic" w:hAnsi="Arial" w:cs="Arial"/>
          <w:b/>
        </w:rPr>
        <w:t>Work Item / Release:</w:t>
      </w:r>
      <w:r w:rsidR="008E4DB1">
        <w:rPr>
          <w:rFonts w:ascii="Arial" w:eastAsia="Malgun Gothic" w:hAnsi="Arial" w:cs="Arial"/>
          <w:b/>
        </w:rPr>
        <w:tab/>
      </w:r>
      <w:r>
        <w:rPr>
          <w:rFonts w:ascii="Arial" w:eastAsia="Malgun Gothic" w:hAnsi="Arial" w:cs="Arial"/>
          <w:b/>
        </w:rPr>
        <w:t>5G_CIoT/Rel-16</w:t>
      </w:r>
    </w:p>
    <w:p w14:paraId="708D8E02" w14:textId="60EDA251" w:rsidR="0007566C" w:rsidRPr="00DB5127" w:rsidRDefault="0007566C" w:rsidP="0007566C">
      <w:pPr>
        <w:jc w:val="both"/>
        <w:rPr>
          <w:rFonts w:ascii="Arial" w:eastAsia="Malgun Gothic" w:hAnsi="Arial" w:cs="Arial"/>
          <w:i/>
        </w:rPr>
      </w:pPr>
      <w:r w:rsidRPr="00DB5127">
        <w:rPr>
          <w:rFonts w:ascii="Arial" w:eastAsia="Malgun Gothic" w:hAnsi="Arial" w:cs="Arial"/>
          <w:i/>
        </w:rPr>
        <w:t xml:space="preserve">Abstract of the contribution: </w:t>
      </w:r>
      <w:r w:rsidR="008E4DB1">
        <w:rPr>
          <w:rFonts w:ascii="Arial" w:eastAsia="Malgun Gothic" w:hAnsi="Arial" w:cs="Arial"/>
          <w:i/>
        </w:rPr>
        <w:t xml:space="preserve">This paper discusses 1) how </w:t>
      </w:r>
      <w:r w:rsidR="008E4DB1" w:rsidRPr="008E4DB1">
        <w:rPr>
          <w:rFonts w:ascii="Arial" w:eastAsia="Malgun Gothic" w:hAnsi="Arial" w:cs="Arial"/>
          <w:i/>
        </w:rPr>
        <w:t xml:space="preserve">and when </w:t>
      </w:r>
      <w:r w:rsidR="008E4DB1">
        <w:rPr>
          <w:rFonts w:ascii="Arial" w:eastAsia="Malgun Gothic" w:hAnsi="Arial" w:cs="Arial"/>
          <w:i/>
        </w:rPr>
        <w:t>the IWK-NEF is configured and 2) w</w:t>
      </w:r>
      <w:r w:rsidR="008E4DB1" w:rsidRPr="008E4DB1">
        <w:rPr>
          <w:rFonts w:ascii="Arial" w:eastAsia="Malgun Gothic" w:hAnsi="Arial" w:cs="Arial"/>
          <w:i/>
        </w:rPr>
        <w:t>hen the UE moves to 5GC, how the monitoring state get</w:t>
      </w:r>
      <w:r w:rsidR="008E4DB1">
        <w:rPr>
          <w:rFonts w:ascii="Arial" w:eastAsia="Malgun Gothic" w:hAnsi="Arial" w:cs="Arial"/>
          <w:i/>
        </w:rPr>
        <w:t>s</w:t>
      </w:r>
      <w:r w:rsidR="008E4DB1" w:rsidRPr="008E4DB1">
        <w:rPr>
          <w:rFonts w:ascii="Arial" w:eastAsia="Malgun Gothic" w:hAnsi="Arial" w:cs="Arial"/>
          <w:i/>
        </w:rPr>
        <w:t xml:space="preserve"> transferred from the IWK-SCEF to the IWK-NEF</w:t>
      </w:r>
      <w:r>
        <w:rPr>
          <w:rFonts w:ascii="Arial" w:eastAsia="Malgun Gothic" w:hAnsi="Arial" w:cs="Arial"/>
          <w:i/>
        </w:rPr>
        <w:t>.</w:t>
      </w:r>
    </w:p>
    <w:p w14:paraId="708D8E03" w14:textId="407DCBC5" w:rsidR="0007566C" w:rsidRDefault="0007566C" w:rsidP="0007566C">
      <w:pPr>
        <w:pStyle w:val="Heading1"/>
      </w:pPr>
      <w:r>
        <w:t>1</w:t>
      </w:r>
      <w:r>
        <w:tab/>
        <w:t>Discussion</w:t>
      </w:r>
      <w:r w:rsidR="00C72335">
        <w:t xml:space="preserve"> on IWK-NEF Functionality</w:t>
      </w:r>
    </w:p>
    <w:p w14:paraId="708D8E08" w14:textId="467256BD" w:rsidR="002A3C1C" w:rsidRDefault="00AB0CCE" w:rsidP="0048387E">
      <w:pPr>
        <w:rPr>
          <w:rFonts w:ascii="Times New Roman" w:hAnsi="Times New Roman" w:cs="Times New Roman"/>
        </w:rPr>
      </w:pPr>
      <w:r>
        <w:rPr>
          <w:rFonts w:ascii="Times New Roman" w:hAnsi="Times New Roman" w:cs="Times New Roman"/>
        </w:rPr>
        <w:t xml:space="preserve">The </w:t>
      </w:r>
      <w:r w:rsidR="00065D57">
        <w:rPr>
          <w:rFonts w:ascii="Times New Roman" w:hAnsi="Times New Roman" w:cs="Times New Roman"/>
        </w:rPr>
        <w:t>following architectural assumption was agreed in TR 23.724.</w:t>
      </w:r>
    </w:p>
    <w:p w14:paraId="708D8E09" w14:textId="77777777" w:rsidR="00065D57" w:rsidRDefault="00065D57" w:rsidP="0048387E">
      <w:pPr>
        <w:rPr>
          <w:rFonts w:ascii="Times New Roman" w:hAnsi="Times New Roman" w:cs="Times New Roman"/>
        </w:rPr>
      </w:pPr>
      <w:r w:rsidRPr="00065D57">
        <w:rPr>
          <w:rFonts w:ascii="Times New Roman" w:hAnsi="Times New Roman" w:cs="Times New Roman"/>
          <w:noProof/>
        </w:rPr>
        <mc:AlternateContent>
          <mc:Choice Requires="wps">
            <w:drawing>
              <wp:anchor distT="45720" distB="45720" distL="114300" distR="114300" simplePos="0" relativeHeight="251659264" behindDoc="0" locked="0" layoutInCell="1" allowOverlap="1" wp14:anchorId="708D8E3D" wp14:editId="708D8E3E">
                <wp:simplePos x="0" y="0"/>
                <wp:positionH relativeFrom="column">
                  <wp:posOffset>541020</wp:posOffset>
                </wp:positionH>
                <wp:positionV relativeFrom="paragraph">
                  <wp:posOffset>134620</wp:posOffset>
                </wp:positionV>
                <wp:extent cx="6774180" cy="1404620"/>
                <wp:effectExtent l="0" t="0" r="26670" b="2032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74180" cy="1404620"/>
                        </a:xfrm>
                        <a:prstGeom prst="rect">
                          <a:avLst/>
                        </a:prstGeom>
                        <a:solidFill>
                          <a:srgbClr val="FFFFFF"/>
                        </a:solidFill>
                        <a:ln w="9525">
                          <a:solidFill>
                            <a:srgbClr val="000000"/>
                          </a:solidFill>
                          <a:miter lim="800000"/>
                          <a:headEnd/>
                          <a:tailEnd/>
                        </a:ln>
                      </wps:spPr>
                      <wps:txbx>
                        <w:txbxContent>
                          <w:p w14:paraId="708D8E3F" w14:textId="77777777" w:rsidR="00065D57" w:rsidRPr="000F1F6F" w:rsidRDefault="00065D57" w:rsidP="00065D57">
                            <w:pPr>
                              <w:pStyle w:val="B1"/>
                              <w:rPr>
                                <w:lang w:val="en-US" w:eastAsia="en-GB"/>
                              </w:rPr>
                            </w:pPr>
                            <w:r w:rsidRPr="000F1F6F">
                              <w:rPr>
                                <w:lang w:val="en-US" w:eastAsia="en-GB"/>
                              </w:rPr>
                              <w:t>-</w:t>
                            </w:r>
                            <w:r w:rsidRPr="000F1F6F">
                              <w:rPr>
                                <w:lang w:val="en-US" w:eastAsia="en-GB"/>
                              </w:rPr>
                              <w:tab/>
                              <w:t xml:space="preserve">Notifications and data from NFs in the VPLMN to the NEF can be routed through an IWK-NEF, </w:t>
                            </w:r>
                            <w:r w:rsidRPr="00C72335">
                              <w:rPr>
                                <w:highlight w:val="yellow"/>
                                <w:lang w:val="en-US" w:eastAsia="en-GB"/>
                              </w:rPr>
                              <w:t>similar to the IWK-SCEF in EPC</w:t>
                            </w:r>
                            <w:r w:rsidRPr="000F1F6F">
                              <w:rPr>
                                <w:lang w:val="en-US"/>
                              </w:rPr>
                              <w:t>.</w:t>
                            </w:r>
                          </w:p>
                          <w:p w14:paraId="708D8E40" w14:textId="77777777" w:rsidR="00065D57" w:rsidRPr="00947714" w:rsidRDefault="00065D57" w:rsidP="00065D57">
                            <w:pPr>
                              <w:pStyle w:val="NO"/>
                              <w:rPr>
                                <w:lang w:val="en-US" w:eastAsia="en-GB"/>
                              </w:rPr>
                            </w:pPr>
                            <w:r w:rsidRPr="00947714">
                              <w:rPr>
                                <w:lang w:eastAsia="en-GB"/>
                              </w:rPr>
                              <w:t>NOTE</w:t>
                            </w:r>
                            <w:r>
                              <w:rPr>
                                <w:lang w:eastAsia="en-GB"/>
                              </w:rPr>
                              <w:t> </w:t>
                            </w:r>
                            <w:r w:rsidRPr="00947714">
                              <w:rPr>
                                <w:lang w:eastAsia="en-GB"/>
                              </w:rPr>
                              <w:t>2:</w:t>
                            </w:r>
                            <w:r>
                              <w:rPr>
                                <w:lang w:eastAsia="en-GB"/>
                              </w:rPr>
                              <w:tab/>
                            </w:r>
                            <w:r w:rsidRPr="00947714">
                              <w:rPr>
                                <w:lang w:eastAsia="en-GB"/>
                              </w:rPr>
                              <w:t xml:space="preserve">Some solutions documented in this TR may not necessarily show the IWK-NEF. It is however assumed that IWK-NEF </w:t>
                            </w:r>
                            <w:r w:rsidRPr="00947714">
                              <w:rPr>
                                <w:lang w:val="en-US" w:eastAsia="en-GB"/>
                              </w:rPr>
                              <w:t>su</w:t>
                            </w:r>
                            <w:r>
                              <w:rPr>
                                <w:lang w:val="en-US" w:eastAsia="en-GB"/>
                              </w:rPr>
                              <w:t xml:space="preserve">pport </w:t>
                            </w:r>
                            <w:r w:rsidRPr="00947714">
                              <w:rPr>
                                <w:lang w:eastAsia="en-GB"/>
                              </w:rPr>
                              <w:t>will be added during the normative phase</w:t>
                            </w:r>
                            <w:r w:rsidRPr="00947714">
                              <w:rPr>
                                <w:lang w:val="en-US" w:eastAsia="en-GB"/>
                              </w:rPr>
                              <w:t>.</w:t>
                            </w:r>
                          </w:p>
                          <w:p w14:paraId="708D8E41" w14:textId="77777777" w:rsidR="00065D57" w:rsidRDefault="00065D57"/>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08D8E3D" id="_x0000_t202" coordsize="21600,21600" o:spt="202" path="m,l,21600r21600,l21600,xe">
                <v:stroke joinstyle="miter"/>
                <v:path gradientshapeok="t" o:connecttype="rect"/>
              </v:shapetype>
              <v:shape id="Text Box 2" o:spid="_x0000_s1026" type="#_x0000_t202" style="position:absolute;margin-left:42.6pt;margin-top:10.6pt;width:533.4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">
                <v:textbox style="mso-fit-shape-to-text:t">
                  <w:txbxContent>
                    <w:p w14:paraId="708D8E3F" w14:textId="77777777" w:rsidR="00065D57" w:rsidRPr="000F1F6F" w:rsidRDefault="00065D57" w:rsidP="00065D57">
                      <w:pPr>
                        <w:pStyle w:val="B1"/>
                        <w:rPr>
                          <w:lang w:val="en-US" w:eastAsia="en-GB"/>
                        </w:rPr>
                      </w:pPr>
                      <w:r w:rsidRPr="000F1F6F">
                        <w:rPr>
                          <w:lang w:val="en-US" w:eastAsia="en-GB"/>
                        </w:rPr>
                        <w:t>-</w:t>
                      </w:r>
                      <w:r w:rsidRPr="000F1F6F">
                        <w:rPr>
                          <w:lang w:val="en-US" w:eastAsia="en-GB"/>
                        </w:rPr>
                        <w:tab/>
                        <w:t xml:space="preserve">Notifications and data from NFs in the VPLMN to the NEF can be routed through an IWK-NEF, </w:t>
                      </w:r>
                      <w:r w:rsidRPr="00C72335">
                        <w:rPr>
                          <w:highlight w:val="yellow"/>
                          <w:lang w:val="en-US" w:eastAsia="en-GB"/>
                        </w:rPr>
                        <w:t>similar to the IWK-SCEF in EPC</w:t>
                      </w:r>
                      <w:r w:rsidRPr="000F1F6F">
                        <w:rPr>
                          <w:lang w:val="en-US"/>
                        </w:rPr>
                        <w:t>.</w:t>
                      </w:r>
                    </w:p>
                    <w:p w14:paraId="708D8E40" w14:textId="77777777" w:rsidR="00065D57" w:rsidRPr="00947714" w:rsidRDefault="00065D57" w:rsidP="00065D57">
                      <w:pPr>
                        <w:pStyle w:val="NO"/>
                        <w:rPr>
                          <w:lang w:val="en-US" w:eastAsia="en-GB"/>
                        </w:rPr>
                      </w:pPr>
                      <w:r w:rsidRPr="00947714">
                        <w:rPr>
                          <w:lang w:eastAsia="en-GB"/>
                        </w:rPr>
                        <w:t>NOTE</w:t>
                      </w:r>
                      <w:r>
                        <w:rPr>
                          <w:lang w:eastAsia="en-GB"/>
                        </w:rPr>
                        <w:t> </w:t>
                      </w:r>
                      <w:r w:rsidRPr="00947714">
                        <w:rPr>
                          <w:lang w:eastAsia="en-GB"/>
                        </w:rPr>
                        <w:t>2:</w:t>
                      </w:r>
                      <w:r>
                        <w:rPr>
                          <w:lang w:eastAsia="en-GB"/>
                        </w:rPr>
                        <w:tab/>
                      </w:r>
                      <w:r w:rsidRPr="00947714">
                        <w:rPr>
                          <w:lang w:eastAsia="en-GB"/>
                        </w:rPr>
                        <w:t xml:space="preserve">Some solutions documented in this TR may not necessarily show the IWK-NEF. It is however assumed that IWK-NEF </w:t>
                      </w:r>
                      <w:r w:rsidRPr="00947714">
                        <w:rPr>
                          <w:lang w:val="en-US" w:eastAsia="en-GB"/>
                        </w:rPr>
                        <w:t>su</w:t>
                      </w:r>
                      <w:r>
                        <w:rPr>
                          <w:lang w:val="en-US" w:eastAsia="en-GB"/>
                        </w:rPr>
                        <w:t xml:space="preserve">pport </w:t>
                      </w:r>
                      <w:r w:rsidRPr="00947714">
                        <w:rPr>
                          <w:lang w:eastAsia="en-GB"/>
                        </w:rPr>
                        <w:t>will be added during the normative phase</w:t>
                      </w:r>
                      <w:r w:rsidRPr="00947714">
                        <w:rPr>
                          <w:lang w:val="en-US" w:eastAsia="en-GB"/>
                        </w:rPr>
                        <w:t>.</w:t>
                      </w:r>
                    </w:p>
                    <w:p w14:paraId="708D8E41" w14:textId="77777777" w:rsidR="00065D57" w:rsidRDefault="00065D57"/>
                  </w:txbxContent>
                </v:textbox>
                <w10:wrap type="square"/>
              </v:shape>
            </w:pict>
          </mc:Fallback>
        </mc:AlternateContent>
      </w:r>
    </w:p>
    <w:p w14:paraId="708D8E0A" w14:textId="77777777" w:rsidR="00065D57" w:rsidRDefault="00065D57" w:rsidP="0048387E">
      <w:pPr>
        <w:rPr>
          <w:rFonts w:ascii="Times New Roman" w:hAnsi="Times New Roman" w:cs="Times New Roman"/>
        </w:rPr>
      </w:pPr>
    </w:p>
    <w:p w14:paraId="708D8E0B" w14:textId="77777777" w:rsidR="00065D57" w:rsidRDefault="00065D57" w:rsidP="0048387E">
      <w:pPr>
        <w:rPr>
          <w:rFonts w:ascii="Times New Roman" w:hAnsi="Times New Roman" w:cs="Times New Roman"/>
        </w:rPr>
      </w:pPr>
    </w:p>
    <w:p w14:paraId="708D8E0C" w14:textId="77777777" w:rsidR="00065D57" w:rsidRDefault="00065D57" w:rsidP="0048387E">
      <w:pPr>
        <w:rPr>
          <w:rFonts w:ascii="Times New Roman" w:hAnsi="Times New Roman" w:cs="Times New Roman"/>
        </w:rPr>
      </w:pPr>
    </w:p>
    <w:p w14:paraId="708D8E0D" w14:textId="77777777" w:rsidR="00065D57" w:rsidRDefault="00065D57" w:rsidP="0048387E">
      <w:pPr>
        <w:rPr>
          <w:rFonts w:ascii="Times New Roman" w:hAnsi="Times New Roman" w:cs="Times New Roman"/>
        </w:rPr>
      </w:pPr>
    </w:p>
    <w:p w14:paraId="76260198" w14:textId="1E54EF41" w:rsidR="00AB0CCE" w:rsidRDefault="00AB0CCE" w:rsidP="0048387E">
      <w:pPr>
        <w:rPr>
          <w:rFonts w:ascii="Times New Roman" w:hAnsi="Times New Roman" w:cs="Times New Roman"/>
          <w:b/>
          <w:u w:val="single"/>
        </w:rPr>
      </w:pPr>
    </w:p>
    <w:p w14:paraId="54D51C31" w14:textId="7F4158B6" w:rsidR="005D5604" w:rsidRDefault="007A7AEB" w:rsidP="005D5604">
      <w:pPr>
        <w:rPr>
          <w:rFonts w:ascii="Times New Roman" w:hAnsi="Times New Roman" w:cs="Times New Roman"/>
          <w:b/>
          <w:u w:val="single"/>
        </w:rPr>
      </w:pPr>
      <w:r>
        <w:rPr>
          <w:rFonts w:ascii="Times New Roman" w:hAnsi="Times New Roman" w:cs="Times New Roman"/>
          <w:b/>
          <w:u w:val="single"/>
        </w:rPr>
        <w:t xml:space="preserve">Background </w:t>
      </w:r>
      <w:r w:rsidR="00514D93">
        <w:rPr>
          <w:rFonts w:ascii="Times New Roman" w:hAnsi="Times New Roman" w:cs="Times New Roman"/>
          <w:b/>
          <w:u w:val="single"/>
        </w:rPr>
        <w:t>about the IWK-SCEF</w:t>
      </w:r>
      <w:r w:rsidR="005D5604">
        <w:rPr>
          <w:rFonts w:ascii="Times New Roman" w:hAnsi="Times New Roman" w:cs="Times New Roman"/>
          <w:b/>
          <w:u w:val="single"/>
        </w:rPr>
        <w:t>:</w:t>
      </w:r>
    </w:p>
    <w:p w14:paraId="0EA75F97" w14:textId="42F2715F" w:rsidR="005D5604" w:rsidRDefault="007A7AEB" w:rsidP="005D5604">
      <w:pPr>
        <w:rPr>
          <w:rFonts w:ascii="Times New Roman" w:hAnsi="Times New Roman" w:cs="Times New Roman"/>
        </w:rPr>
      </w:pPr>
      <w:r>
        <w:rPr>
          <w:rFonts w:ascii="Times New Roman" w:hAnsi="Times New Roman" w:cs="Times New Roman"/>
        </w:rPr>
        <w:t>The IWK-SCEF is a state-</w:t>
      </w:r>
      <w:r w:rsidR="008F3B42">
        <w:rPr>
          <w:rFonts w:ascii="Times New Roman" w:hAnsi="Times New Roman" w:cs="Times New Roman"/>
        </w:rPr>
        <w:t>full</w:t>
      </w:r>
      <w:r>
        <w:rPr>
          <w:rFonts w:ascii="Times New Roman" w:hAnsi="Times New Roman" w:cs="Times New Roman"/>
        </w:rPr>
        <w:t xml:space="preserve"> network entity.</w:t>
      </w:r>
    </w:p>
    <w:p w14:paraId="6211B0DD" w14:textId="03066085" w:rsidR="007A7AEB" w:rsidRDefault="007A7AEB" w:rsidP="005D5604">
      <w:pPr>
        <w:rPr>
          <w:rFonts w:ascii="Times New Roman" w:hAnsi="Times New Roman" w:cs="Times New Roman"/>
        </w:rPr>
      </w:pPr>
      <w:r>
        <w:rPr>
          <w:rFonts w:ascii="Times New Roman" w:hAnsi="Times New Roman" w:cs="Times New Roman"/>
        </w:rPr>
        <w:t>Per TS 23.682, Section 5.6.0</w:t>
      </w:r>
      <w:r w:rsidR="00792EBC">
        <w:rPr>
          <w:rFonts w:ascii="Times New Roman" w:hAnsi="Times New Roman" w:cs="Times New Roman"/>
        </w:rPr>
        <w:t>, the IWK</w:t>
      </w:r>
      <w:r w:rsidR="008F3B42">
        <w:rPr>
          <w:rFonts w:ascii="Times New Roman" w:hAnsi="Times New Roman" w:cs="Times New Roman"/>
        </w:rPr>
        <w:t>-SCEF is configured with an SCEF-ID that is associated with a monitoring configuration</w:t>
      </w:r>
      <w:r>
        <w:rPr>
          <w:rFonts w:ascii="Times New Roman" w:hAnsi="Times New Roman" w:cs="Times New Roman"/>
        </w:rPr>
        <w:t>:</w:t>
      </w:r>
    </w:p>
    <w:p w14:paraId="5948C1C5" w14:textId="0ACA7052" w:rsidR="007A7AEB" w:rsidRDefault="007A7AEB" w:rsidP="005D5604">
      <w:pPr>
        <w:rPr>
          <w:rFonts w:ascii="Times New Roman" w:hAnsi="Times New Roman" w:cs="Times New Roman"/>
        </w:rPr>
      </w:pPr>
    </w:p>
    <w:p w14:paraId="70F54277" w14:textId="5A5D7B31" w:rsidR="007A7AEB" w:rsidRDefault="007A7AEB" w:rsidP="0048387E">
      <w:pPr>
        <w:rPr>
          <w:rFonts w:ascii="Times New Roman" w:hAnsi="Times New Roman" w:cs="Times New Roman"/>
          <w:b/>
          <w:u w:val="single"/>
        </w:rPr>
      </w:pPr>
    </w:p>
    <w:p w14:paraId="04D5B991" w14:textId="38A7B378" w:rsidR="007A7AEB" w:rsidRDefault="007A7AEB" w:rsidP="0048387E">
      <w:pPr>
        <w:rPr>
          <w:rFonts w:ascii="Times New Roman" w:hAnsi="Times New Roman" w:cs="Times New Roman"/>
          <w:b/>
          <w:u w:val="single"/>
        </w:rPr>
      </w:pPr>
      <w:r w:rsidRPr="00065D57">
        <w:rPr>
          <w:rFonts w:ascii="Times New Roman" w:hAnsi="Times New Roman" w:cs="Times New Roman"/>
          <w:noProof/>
        </w:rPr>
        <mc:AlternateContent>
          <mc:Choice Requires="wps">
            <w:drawing>
              <wp:anchor distT="45720" distB="45720" distL="114300" distR="114300" simplePos="0" relativeHeight="251661312" behindDoc="0" locked="0" layoutInCell="1" allowOverlap="1" wp14:anchorId="6AD921C1" wp14:editId="64E649C8">
                <wp:simplePos x="0" y="0"/>
                <wp:positionH relativeFrom="column">
                  <wp:posOffset>466725</wp:posOffset>
                </wp:positionH>
                <wp:positionV relativeFrom="paragraph">
                  <wp:posOffset>0</wp:posOffset>
                </wp:positionV>
                <wp:extent cx="6774180" cy="1404620"/>
                <wp:effectExtent l="0" t="0" r="26670" b="2032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74180" cy="1404620"/>
                        </a:xfrm>
                        <a:prstGeom prst="rect">
                          <a:avLst/>
                        </a:prstGeom>
                        <a:solidFill>
                          <a:srgbClr val="FFFFFF"/>
                        </a:solidFill>
                        <a:ln w="9525">
                          <a:solidFill>
                            <a:srgbClr val="000000"/>
                          </a:solidFill>
                          <a:miter lim="800000"/>
                          <a:headEnd/>
                          <a:tailEnd/>
                        </a:ln>
                      </wps:spPr>
                      <wps:txbx>
                        <w:txbxContent>
                          <w:p w14:paraId="5A3820DB" w14:textId="41D3FA93" w:rsidR="007A7AEB" w:rsidRDefault="007A7AEB" w:rsidP="007A7AEB">
                            <w:r w:rsidRPr="007A7AEB">
                              <w:rPr>
                                <w:rFonts w:ascii="Times New Roman" w:eastAsia="Times New Roman" w:hAnsi="Times New Roman" w:cs="Times New Roman"/>
                                <w:sz w:val="20"/>
                                <w:szCs w:val="20"/>
                                <w:lang w:eastAsia="en-GB"/>
                              </w:rPr>
                              <w:t xml:space="preserve">SCEF ID indicates the SCEF to which the Monitoring Indication message has to be sent to by the HSS, MME, SGSN, or IWK-SCEF. </w:t>
                            </w:r>
                            <w:r w:rsidRPr="008F3B42">
                              <w:rPr>
                                <w:rFonts w:ascii="Times New Roman" w:eastAsia="Times New Roman" w:hAnsi="Times New Roman" w:cs="Times New Roman"/>
                                <w:sz w:val="20"/>
                                <w:szCs w:val="20"/>
                                <w:highlight w:val="yellow"/>
                                <w:lang w:eastAsia="en-GB"/>
                              </w:rPr>
                              <w:t>SCEF ID is stored by the</w:t>
                            </w:r>
                            <w:r w:rsidRPr="007A7AEB">
                              <w:rPr>
                                <w:rFonts w:ascii="Times New Roman" w:eastAsia="Times New Roman" w:hAnsi="Times New Roman" w:cs="Times New Roman"/>
                                <w:sz w:val="20"/>
                                <w:szCs w:val="20"/>
                                <w:lang w:eastAsia="en-GB"/>
                              </w:rPr>
                              <w:t xml:space="preserve"> HSS, MME, SGSN, and </w:t>
                            </w:r>
                            <w:r w:rsidRPr="008F3B42">
                              <w:rPr>
                                <w:rFonts w:ascii="Times New Roman" w:eastAsia="Times New Roman" w:hAnsi="Times New Roman" w:cs="Times New Roman"/>
                                <w:sz w:val="20"/>
                                <w:szCs w:val="20"/>
                                <w:highlight w:val="yellow"/>
                                <w:lang w:eastAsia="en-GB"/>
                              </w:rPr>
                              <w:t>IWK-SCEF</w:t>
                            </w:r>
                            <w:r w:rsidRPr="007A7AEB">
                              <w:rPr>
                                <w:rFonts w:ascii="Times New Roman" w:eastAsia="Times New Roman" w:hAnsi="Times New Roman" w:cs="Times New Roman"/>
                                <w:sz w:val="20"/>
                                <w:szCs w:val="20"/>
                                <w:lang w:eastAsia="en-GB"/>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AD921C1" id="_x0000_s1027" type="#_x0000_t202" style="position:absolute;margin-left:36.75pt;margin-top:0;width:533.4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">
                <v:textbox style="mso-fit-shape-to-text:t">
                  <w:txbxContent>
                    <w:p w14:paraId="5A3820DB" w14:textId="41D3FA93" w:rsidR="007A7AEB" w:rsidRDefault="007A7AEB" w:rsidP="007A7AEB">
                      <w:r w:rsidRPr="007A7AEB">
                        <w:rPr>
                          <w:rFonts w:ascii="Times New Roman" w:eastAsia="Times New Roman" w:hAnsi="Times New Roman" w:cs="Times New Roman"/>
                          <w:sz w:val="20"/>
                          <w:szCs w:val="20"/>
                          <w:lang w:eastAsia="en-GB"/>
                        </w:rPr>
                        <w:t xml:space="preserve">SCEF ID indicates the SCEF to which the Monitoring Indication message has to be sent to by the HSS, MME, SGSN, or IWK-SCEF. </w:t>
                      </w:r>
                      <w:r w:rsidRPr="008F3B42">
                        <w:rPr>
                          <w:rFonts w:ascii="Times New Roman" w:eastAsia="Times New Roman" w:hAnsi="Times New Roman" w:cs="Times New Roman"/>
                          <w:sz w:val="20"/>
                          <w:szCs w:val="20"/>
                          <w:highlight w:val="yellow"/>
                          <w:lang w:eastAsia="en-GB"/>
                        </w:rPr>
                        <w:t>SCEF ID is stored by the</w:t>
                      </w:r>
                      <w:r w:rsidRPr="007A7AEB">
                        <w:rPr>
                          <w:rFonts w:ascii="Times New Roman" w:eastAsia="Times New Roman" w:hAnsi="Times New Roman" w:cs="Times New Roman"/>
                          <w:sz w:val="20"/>
                          <w:szCs w:val="20"/>
                          <w:lang w:eastAsia="en-GB"/>
                        </w:rPr>
                        <w:t xml:space="preserve"> HSS, MME, SGSN, and </w:t>
                      </w:r>
                      <w:r w:rsidRPr="008F3B42">
                        <w:rPr>
                          <w:rFonts w:ascii="Times New Roman" w:eastAsia="Times New Roman" w:hAnsi="Times New Roman" w:cs="Times New Roman"/>
                          <w:sz w:val="20"/>
                          <w:szCs w:val="20"/>
                          <w:highlight w:val="yellow"/>
                          <w:lang w:eastAsia="en-GB"/>
                        </w:rPr>
                        <w:t>IWK-SCEF</w:t>
                      </w:r>
                      <w:r w:rsidRPr="007A7AEB">
                        <w:rPr>
                          <w:rFonts w:ascii="Times New Roman" w:eastAsia="Times New Roman" w:hAnsi="Times New Roman" w:cs="Times New Roman"/>
                          <w:sz w:val="20"/>
                          <w:szCs w:val="20"/>
                          <w:lang w:eastAsia="en-GB"/>
                        </w:rPr>
                        <w:t>.</w:t>
                      </w:r>
                    </w:p>
                  </w:txbxContent>
                </v:textbox>
                <w10:wrap type="square"/>
              </v:shape>
            </w:pict>
          </mc:Fallback>
        </mc:AlternateContent>
      </w:r>
    </w:p>
    <w:p w14:paraId="2F3D817D" w14:textId="446819E9" w:rsidR="007A7AEB" w:rsidRDefault="007A7AEB" w:rsidP="0048387E">
      <w:pPr>
        <w:rPr>
          <w:rFonts w:ascii="Times New Roman" w:hAnsi="Times New Roman" w:cs="Times New Roman"/>
          <w:b/>
          <w:u w:val="single"/>
        </w:rPr>
      </w:pPr>
    </w:p>
    <w:p w14:paraId="617A5259" w14:textId="0E62C022" w:rsidR="007A7AEB" w:rsidRDefault="007A7AEB" w:rsidP="0048387E">
      <w:pPr>
        <w:rPr>
          <w:rFonts w:ascii="Times New Roman" w:hAnsi="Times New Roman" w:cs="Times New Roman"/>
          <w:b/>
          <w:u w:val="single"/>
        </w:rPr>
      </w:pPr>
    </w:p>
    <w:p w14:paraId="7D719F28" w14:textId="43F85F3D" w:rsidR="007A7AEB" w:rsidRPr="008F3B42" w:rsidRDefault="00514D93" w:rsidP="0048387E">
      <w:pPr>
        <w:rPr>
          <w:rFonts w:ascii="Times New Roman" w:hAnsi="Times New Roman" w:cs="Times New Roman"/>
        </w:rPr>
      </w:pPr>
      <w:r w:rsidRPr="008F3B42">
        <w:rPr>
          <w:rFonts w:ascii="Times New Roman" w:hAnsi="Times New Roman" w:cs="Times New Roman"/>
        </w:rPr>
        <w:t>Per TS 23.682, Section 5.6.6.1, in the Monitoring Configuration Procedure</w:t>
      </w:r>
      <w:r w:rsidR="008F3B42" w:rsidRPr="008F3B42">
        <w:rPr>
          <w:rFonts w:ascii="Times New Roman" w:hAnsi="Times New Roman" w:cs="Times New Roman"/>
        </w:rPr>
        <w:t xml:space="preserve">, we see that the IWK-SCEF is configured with the </w:t>
      </w:r>
      <w:r w:rsidR="008F3B42" w:rsidRPr="008F3B42">
        <w:rPr>
          <w:rFonts w:ascii="Times New Roman" w:eastAsia="Times New Roman" w:hAnsi="Times New Roman" w:cs="Times New Roman"/>
          <w:lang w:eastAsia="en-GB"/>
        </w:rPr>
        <w:t>Maximum Number of Reports and Monitoring Duration for the monitoring event.</w:t>
      </w:r>
      <w:r w:rsidRPr="008F3B42">
        <w:rPr>
          <w:rFonts w:ascii="Times New Roman" w:hAnsi="Times New Roman" w:cs="Times New Roman"/>
        </w:rPr>
        <w:t>:</w:t>
      </w:r>
    </w:p>
    <w:p w14:paraId="77DE98C3" w14:textId="0E6BC4DB" w:rsidR="00514D93" w:rsidRPr="00514D93" w:rsidRDefault="00514D93" w:rsidP="0048387E">
      <w:pPr>
        <w:rPr>
          <w:rFonts w:ascii="Times New Roman" w:hAnsi="Times New Roman" w:cs="Times New Roman"/>
        </w:rPr>
      </w:pPr>
      <w:r w:rsidRPr="00065D57">
        <w:rPr>
          <w:rFonts w:ascii="Times New Roman" w:hAnsi="Times New Roman" w:cs="Times New Roman"/>
          <w:noProof/>
        </w:rPr>
        <mc:AlternateContent>
          <mc:Choice Requires="wps">
            <w:drawing>
              <wp:anchor distT="45720" distB="45720" distL="114300" distR="114300" simplePos="0" relativeHeight="251663360" behindDoc="0" locked="0" layoutInCell="1" allowOverlap="1" wp14:anchorId="51606ACF" wp14:editId="4251A870">
                <wp:simplePos x="0" y="0"/>
                <wp:positionH relativeFrom="column">
                  <wp:posOffset>457200</wp:posOffset>
                </wp:positionH>
                <wp:positionV relativeFrom="paragraph">
                  <wp:posOffset>7620</wp:posOffset>
                </wp:positionV>
                <wp:extent cx="6774180" cy="1404620"/>
                <wp:effectExtent l="0" t="0" r="26670" b="2032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74180" cy="1404620"/>
                        </a:xfrm>
                        <a:prstGeom prst="rect">
                          <a:avLst/>
                        </a:prstGeom>
                        <a:solidFill>
                          <a:srgbClr val="FFFFFF"/>
                        </a:solidFill>
                        <a:ln w="9525">
                          <a:solidFill>
                            <a:srgbClr val="000000"/>
                          </a:solidFill>
                          <a:miter lim="800000"/>
                          <a:headEnd/>
                          <a:tailEnd/>
                        </a:ln>
                      </wps:spPr>
                      <wps:txbx>
                        <w:txbxContent>
                          <w:p w14:paraId="49976A1A" w14:textId="3F639929" w:rsidR="00514D93" w:rsidRDefault="00514D93" w:rsidP="00514D93">
                            <w:r w:rsidRPr="00514D93">
                              <w:rPr>
                                <w:rFonts w:ascii="Times New Roman" w:eastAsia="Times New Roman" w:hAnsi="Times New Roman" w:cs="Times New Roman"/>
                                <w:sz w:val="20"/>
                                <w:szCs w:val="20"/>
                                <w:lang w:eastAsia="en-GB"/>
                              </w:rPr>
                              <w:t>MME/SGSN may send an Inform IWK-SCEF (Monitoring Type, SCEF ID, SCEF Reference ID, Maximum Number of Reports, Monitoring Duration, SCEF Reference ID for Deletion, Chargeable Party Identifier, Monitoring Event Report) message to the IWK-SCEF.</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1606ACF" id="_x0000_s1028" type="#_x0000_t202" style="position:absolute;margin-left:36pt;margin-top:.6pt;width:533.4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">
                <v:textbox style="mso-fit-shape-to-text:t">
                  <w:txbxContent>
                    <w:p w14:paraId="49976A1A" w14:textId="3F639929" w:rsidR="00514D93" w:rsidRDefault="00514D93" w:rsidP="00514D93">
                      <w:r w:rsidRPr="00514D93">
                        <w:rPr>
                          <w:rFonts w:ascii="Times New Roman" w:eastAsia="Times New Roman" w:hAnsi="Times New Roman" w:cs="Times New Roman"/>
                          <w:sz w:val="20"/>
                          <w:szCs w:val="20"/>
                          <w:lang w:eastAsia="en-GB"/>
                        </w:rPr>
                        <w:t>MME/SGSN may send an Inform IWK-SCEF (Monitoring Type, SCEF ID, SCEF Reference ID, Maximum Number of Reports, Monitoring Duration, SCEF Reference ID for Deletion, Chargeable Party Identifier, Monitoring Event Report) message to the IWK-SCEF.</w:t>
                      </w:r>
                    </w:p>
                  </w:txbxContent>
                </v:textbox>
                <w10:wrap type="square"/>
              </v:shape>
            </w:pict>
          </mc:Fallback>
        </mc:AlternateContent>
      </w:r>
    </w:p>
    <w:p w14:paraId="715E8E2B" w14:textId="4B9F1287" w:rsidR="007A7AEB" w:rsidRDefault="007A7AEB" w:rsidP="0048387E">
      <w:pPr>
        <w:rPr>
          <w:rFonts w:ascii="Times New Roman" w:hAnsi="Times New Roman" w:cs="Times New Roman"/>
          <w:b/>
          <w:u w:val="single"/>
        </w:rPr>
      </w:pPr>
    </w:p>
    <w:p w14:paraId="19242F3F" w14:textId="77777777" w:rsidR="007A7AEB" w:rsidRDefault="007A7AEB" w:rsidP="0048387E">
      <w:pPr>
        <w:rPr>
          <w:rFonts w:ascii="Times New Roman" w:hAnsi="Times New Roman" w:cs="Times New Roman"/>
          <w:b/>
          <w:u w:val="single"/>
        </w:rPr>
      </w:pPr>
    </w:p>
    <w:p w14:paraId="077E8B42" w14:textId="3C212F22" w:rsidR="008F3B42" w:rsidRPr="008F3B42" w:rsidRDefault="008F3B42" w:rsidP="008F3B42">
      <w:pPr>
        <w:rPr>
          <w:rFonts w:ascii="Times New Roman" w:hAnsi="Times New Roman" w:cs="Times New Roman"/>
        </w:rPr>
      </w:pPr>
      <w:r>
        <w:rPr>
          <w:rFonts w:ascii="Times New Roman" w:hAnsi="Times New Roman" w:cs="Times New Roman"/>
        </w:rPr>
        <w:t xml:space="preserve">This is also described in stage-3. </w:t>
      </w:r>
      <w:r w:rsidRPr="008F3B42">
        <w:rPr>
          <w:rFonts w:ascii="Times New Roman" w:hAnsi="Times New Roman" w:cs="Times New Roman"/>
        </w:rPr>
        <w:t xml:space="preserve">Per TS 29.128, Section 5.4.1, in the Monitoring Configuration Procedure, we see that the IWK-SCEF is configured with the </w:t>
      </w:r>
      <w:r w:rsidRPr="008F3B42">
        <w:rPr>
          <w:rFonts w:ascii="Times New Roman" w:eastAsia="Times New Roman" w:hAnsi="Times New Roman" w:cs="Times New Roman"/>
          <w:lang w:eastAsia="en-GB"/>
        </w:rPr>
        <w:t>Maximum Number of Reports and Monitoring Duration for the monitoring event.</w:t>
      </w:r>
      <w:r w:rsidRPr="008F3B42">
        <w:rPr>
          <w:rFonts w:ascii="Times New Roman" w:hAnsi="Times New Roman" w:cs="Times New Roman"/>
        </w:rPr>
        <w:t>:</w:t>
      </w:r>
    </w:p>
    <w:p w14:paraId="1CB10A2B" w14:textId="77777777" w:rsidR="008F3B42" w:rsidRDefault="008F3B42" w:rsidP="008F3B42">
      <w:pPr>
        <w:rPr>
          <w:rFonts w:ascii="Times New Roman" w:hAnsi="Times New Roman" w:cs="Times New Roman"/>
          <w:b/>
          <w:u w:val="single"/>
        </w:rPr>
      </w:pPr>
      <w:r w:rsidRPr="00065D57">
        <w:rPr>
          <w:rFonts w:ascii="Times New Roman" w:hAnsi="Times New Roman" w:cs="Times New Roman"/>
          <w:noProof/>
        </w:rPr>
        <mc:AlternateContent>
          <mc:Choice Requires="wps">
            <w:drawing>
              <wp:anchor distT="45720" distB="45720" distL="114300" distR="114300" simplePos="0" relativeHeight="251671552" behindDoc="0" locked="0" layoutInCell="1" allowOverlap="1" wp14:anchorId="79E2FBE1" wp14:editId="13E5EA9D">
                <wp:simplePos x="0" y="0"/>
                <wp:positionH relativeFrom="column">
                  <wp:posOffset>523875</wp:posOffset>
                </wp:positionH>
                <wp:positionV relativeFrom="paragraph">
                  <wp:posOffset>45720</wp:posOffset>
                </wp:positionV>
                <wp:extent cx="6936105" cy="1404620"/>
                <wp:effectExtent l="0" t="0" r="17145" b="14605"/>
                <wp:wrapSquare wrapText="bothSides"/>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36105" cy="1404620"/>
                        </a:xfrm>
                        <a:prstGeom prst="rect">
                          <a:avLst/>
                        </a:prstGeom>
                        <a:solidFill>
                          <a:srgbClr val="FFFFFF"/>
                        </a:solidFill>
                        <a:ln w="9525">
                          <a:solidFill>
                            <a:srgbClr val="000000"/>
                          </a:solidFill>
                          <a:miter lim="800000"/>
                          <a:headEnd/>
                          <a:tailEnd/>
                        </a:ln>
                      </wps:spPr>
                      <wps:txbx>
                        <w:txbxContent>
                          <w:p w14:paraId="2D1E891B" w14:textId="77777777" w:rsidR="008F3B42" w:rsidRPr="00514D93" w:rsidRDefault="008F3B42" w:rsidP="008F3B42">
                            <w:pPr>
                              <w:rPr>
                                <w:rFonts w:ascii="Times New Roman" w:eastAsia="Times New Roman" w:hAnsi="Times New Roman" w:cs="Times New Roman"/>
                                <w:sz w:val="18"/>
                                <w:szCs w:val="20"/>
                              </w:rPr>
                            </w:pPr>
                            <w:r w:rsidRPr="00ED17F9">
                              <w:rPr>
                                <w:rFonts w:ascii="Times New Roman" w:hAnsi="Times New Roman" w:cs="Times New Roman"/>
                                <w:sz w:val="20"/>
                              </w:rPr>
                              <w:t xml:space="preserve">The MME/SGSN shall send the monitoring event configuration information to the IWK-SCEF in roaming scenarios, when the MME/SGSN receives the monitoring event configuration from the HSS. </w:t>
                            </w:r>
                            <w:r w:rsidRPr="00ED17F9">
                              <w:rPr>
                                <w:rFonts w:ascii="Times New Roman" w:hAnsi="Times New Roman" w:cs="Times New Roman"/>
                                <w:sz w:val="20"/>
                                <w:highlight w:val="yellow"/>
                              </w:rPr>
                              <w:t>The monitoring event configuration information shall be locally consumed at the IWK-SCEF and the IWK-SCEF shall not route such requests beyond it.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9E2FBE1" id="Text Box 4" o:spid="_x0000_s1029" type="#_x0000_t202" style="position:absolute;margin-left:41.25pt;margin-top:3.6pt;width:546.15pt;height:110.6pt;z-index:25167155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">
                <v:textbox style="mso-fit-shape-to-text:t">
                  <w:txbxContent>
                    <w:p w14:paraId="2D1E891B" w14:textId="77777777" w:rsidR="008F3B42" w:rsidRPr="00514D93" w:rsidRDefault="008F3B42" w:rsidP="008F3B42">
                      <w:pPr>
                        <w:rPr>
                          <w:rFonts w:ascii="Times New Roman" w:eastAsia="Times New Roman" w:hAnsi="Times New Roman" w:cs="Times New Roman"/>
                          <w:sz w:val="18"/>
                          <w:szCs w:val="20"/>
                        </w:rPr>
                      </w:pPr>
                      <w:r w:rsidRPr="00ED17F9">
                        <w:rPr>
                          <w:rFonts w:ascii="Times New Roman" w:hAnsi="Times New Roman" w:cs="Times New Roman"/>
                          <w:sz w:val="20"/>
                        </w:rPr>
                        <w:t xml:space="preserve">The MME/SGSN shall send the monitoring event configuration information to the IWK-SCEF in roaming scenarios, when the MME/SGSN receives the monitoring event configuration from the HSS. </w:t>
                      </w:r>
                      <w:r w:rsidRPr="00ED17F9">
                        <w:rPr>
                          <w:rFonts w:ascii="Times New Roman" w:hAnsi="Times New Roman" w:cs="Times New Roman"/>
                          <w:sz w:val="20"/>
                          <w:highlight w:val="yellow"/>
                        </w:rPr>
                        <w:t>The monitoring event configuration information shall be locally consumed at the IWK-SCEF and the IWK-SCEF shall not route such requests beyond it.</w:t>
                      </w:r>
                    </w:p>
                  </w:txbxContent>
                </v:textbox>
                <w10:wrap type="square"/>
              </v:shape>
            </w:pict>
          </mc:Fallback>
        </mc:AlternateContent>
      </w:r>
    </w:p>
    <w:p w14:paraId="4EDFC705" w14:textId="77777777" w:rsidR="008F3B42" w:rsidRDefault="008F3B42" w:rsidP="008F3B42">
      <w:pPr>
        <w:rPr>
          <w:rFonts w:ascii="Times New Roman" w:hAnsi="Times New Roman" w:cs="Times New Roman"/>
          <w:b/>
          <w:u w:val="single"/>
        </w:rPr>
      </w:pPr>
    </w:p>
    <w:p w14:paraId="1134AEB1" w14:textId="77777777" w:rsidR="008F3B42" w:rsidRDefault="008F3B42" w:rsidP="0048387E">
      <w:pPr>
        <w:rPr>
          <w:rFonts w:ascii="Times New Roman" w:hAnsi="Times New Roman" w:cs="Times New Roman"/>
        </w:rPr>
      </w:pPr>
    </w:p>
    <w:p w14:paraId="410417AC" w14:textId="4AD2B9F4" w:rsidR="007A7AEB" w:rsidRDefault="00514D93" w:rsidP="0048387E">
      <w:pPr>
        <w:rPr>
          <w:rFonts w:ascii="Times New Roman" w:hAnsi="Times New Roman" w:cs="Times New Roman"/>
        </w:rPr>
      </w:pPr>
      <w:r>
        <w:rPr>
          <w:rFonts w:ascii="Times New Roman" w:hAnsi="Times New Roman" w:cs="Times New Roman"/>
        </w:rPr>
        <w:t>Per, TS 23.682, Section 5.6.8.1, in the Monitoring Reporting Procedure</w:t>
      </w:r>
      <w:r w:rsidR="008F3B42">
        <w:rPr>
          <w:rFonts w:ascii="Times New Roman" w:hAnsi="Times New Roman" w:cs="Times New Roman"/>
        </w:rPr>
        <w:t>, we that the IWK-SCEF tracks the number of reports that have been send for the monitoring event configuration</w:t>
      </w:r>
      <w:r>
        <w:rPr>
          <w:rFonts w:ascii="Times New Roman" w:hAnsi="Times New Roman" w:cs="Times New Roman"/>
        </w:rPr>
        <w:t>:</w:t>
      </w:r>
    </w:p>
    <w:p w14:paraId="02D53021" w14:textId="601AB60D" w:rsidR="00514D93" w:rsidRDefault="00514D93" w:rsidP="0048387E">
      <w:pPr>
        <w:rPr>
          <w:rFonts w:ascii="Times New Roman" w:hAnsi="Times New Roman" w:cs="Times New Roman"/>
        </w:rPr>
      </w:pPr>
      <w:r w:rsidRPr="00065D57">
        <w:rPr>
          <w:rFonts w:ascii="Times New Roman" w:hAnsi="Times New Roman" w:cs="Times New Roman"/>
          <w:noProof/>
        </w:rPr>
        <mc:AlternateContent>
          <mc:Choice Requires="wps">
            <w:drawing>
              <wp:anchor distT="45720" distB="45720" distL="114300" distR="114300" simplePos="0" relativeHeight="251665408" behindDoc="0" locked="0" layoutInCell="1" allowOverlap="1" wp14:anchorId="42D8AE45" wp14:editId="7F6F45A6">
                <wp:simplePos x="0" y="0"/>
                <wp:positionH relativeFrom="column">
                  <wp:posOffset>390525</wp:posOffset>
                </wp:positionH>
                <wp:positionV relativeFrom="paragraph">
                  <wp:posOffset>30480</wp:posOffset>
                </wp:positionV>
                <wp:extent cx="6936105" cy="1404620"/>
                <wp:effectExtent l="0" t="0" r="17145" b="14605"/>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36105" cy="1404620"/>
                        </a:xfrm>
                        <a:prstGeom prst="rect">
                          <a:avLst/>
                        </a:prstGeom>
                        <a:solidFill>
                          <a:srgbClr val="FFFFFF"/>
                        </a:solidFill>
                        <a:ln w="9525">
                          <a:solidFill>
                            <a:srgbClr val="000000"/>
                          </a:solidFill>
                          <a:miter lim="800000"/>
                          <a:headEnd/>
                          <a:tailEnd/>
                        </a:ln>
                      </wps:spPr>
                      <wps:txbx>
                        <w:txbxContent>
                          <w:p w14:paraId="72120FA6" w14:textId="05301CBD" w:rsidR="00514D93" w:rsidRPr="00514D93" w:rsidRDefault="00514D93" w:rsidP="00514D93">
                            <w:pPr>
                              <w:rPr>
                                <w:rFonts w:ascii="Times New Roman" w:eastAsia="Times New Roman" w:hAnsi="Times New Roman" w:cs="Times New Roman"/>
                                <w:sz w:val="18"/>
                                <w:szCs w:val="20"/>
                              </w:rPr>
                            </w:pPr>
                            <w:r w:rsidRPr="00514D93">
                              <w:rPr>
                                <w:rFonts w:ascii="Times New Roman" w:hAnsi="Times New Roman" w:cs="Times New Roman"/>
                                <w:sz w:val="20"/>
                              </w:rPr>
                              <w:t xml:space="preserve">The IWK-SCEF sends a Monitoring Indication (SCEF Reference ID(s), Monitoring Event Report, User Identity) message to the SCEF. </w:t>
                            </w:r>
                            <w:r w:rsidRPr="00514D93">
                              <w:rPr>
                                <w:rFonts w:ascii="Times New Roman" w:hAnsi="Times New Roman" w:cs="Times New Roman"/>
                                <w:sz w:val="20"/>
                                <w:highlight w:val="yellow"/>
                              </w:rPr>
                              <w:t>If the IWK-SCEF has a Maximum Number of Reports stored for this monitoring task, the IWK-SCEF shall decrease its value by one.</w:t>
                            </w:r>
                            <w:r w:rsidRPr="00514D93">
                              <w:rPr>
                                <w:rFonts w:ascii="Times New Roman" w:hAnsi="Times New Roman" w:cs="Times New Roman"/>
                                <w:sz w:val="20"/>
                              </w:rPr>
                              <w:t xml:space="preserve"> When the maximum number of reports is reached for a Continuous Monitoring Request or in case of a One-time Monitoring Request, the IWK-SCEF ends the reporting on the SCEF Reference ID. So that the SCEF can determine what groups the report pertains to, multiple SCEF Reference IDs can be included if the UE is part of multiple groups that require the same monitoring indication.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2D8AE45" id="Text Box 3" o:spid="_x0000_s1030" type="#_x0000_t202" style="position:absolute;margin-left:30.75pt;margin-top:2.4pt;width:546.15pt;height:110.6pt;z-index:2516654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">
                <v:textbox style="mso-fit-shape-to-text:t">
                  <w:txbxContent>
                    <w:p w14:paraId="72120FA6" w14:textId="05301CBD" w:rsidR="00514D93" w:rsidRPr="00514D93" w:rsidRDefault="00514D93" w:rsidP="00514D93">
                      <w:pPr>
                        <w:rPr>
                          <w:rFonts w:ascii="Times New Roman" w:eastAsia="Times New Roman" w:hAnsi="Times New Roman" w:cs="Times New Roman"/>
                          <w:sz w:val="18"/>
                          <w:szCs w:val="20"/>
                        </w:rPr>
                      </w:pPr>
                      <w:r w:rsidRPr="00514D93">
                        <w:rPr>
                          <w:rFonts w:ascii="Times New Roman" w:hAnsi="Times New Roman" w:cs="Times New Roman"/>
                          <w:sz w:val="20"/>
                        </w:rPr>
                        <w:t xml:space="preserve">The IWK-SCEF sends a Monitoring Indication (SCEF Reference ID(s), Monitoring Event Report, User Identity) message to the SCEF. </w:t>
                      </w:r>
                      <w:r w:rsidRPr="00514D93">
                        <w:rPr>
                          <w:rFonts w:ascii="Times New Roman" w:hAnsi="Times New Roman" w:cs="Times New Roman"/>
                          <w:sz w:val="20"/>
                          <w:highlight w:val="yellow"/>
                        </w:rPr>
                        <w:t>If the IWK-SCEF has a Maximum Number of Reports stored for this monitoring task, the IWK-SCEF shall decrease its value by one.</w:t>
                      </w:r>
                      <w:r w:rsidRPr="00514D93">
                        <w:rPr>
                          <w:rFonts w:ascii="Times New Roman" w:hAnsi="Times New Roman" w:cs="Times New Roman"/>
                          <w:sz w:val="20"/>
                        </w:rPr>
                        <w:t xml:space="preserve"> When the maximum number of reports is reached for a Continuous Monitoring Request or in case of a One-time Monitoring Request, the IWK-SCEF ends the reporting on the SCEF Reference ID. So that the SCEF can determine what groups the report pertains to, multiple SCEF Reference IDs can be included if the UE is part of multiple groups that require the same monitoring indication.</w:t>
                      </w:r>
                    </w:p>
                  </w:txbxContent>
                </v:textbox>
                <w10:wrap type="square"/>
              </v:shape>
            </w:pict>
          </mc:Fallback>
        </mc:AlternateContent>
      </w:r>
    </w:p>
    <w:p w14:paraId="7ED51103" w14:textId="54230F9C" w:rsidR="00514D93" w:rsidRPr="00514D93" w:rsidRDefault="00514D93" w:rsidP="0048387E">
      <w:pPr>
        <w:rPr>
          <w:rFonts w:ascii="Times New Roman" w:hAnsi="Times New Roman" w:cs="Times New Roman"/>
        </w:rPr>
      </w:pPr>
    </w:p>
    <w:p w14:paraId="6E268FEB" w14:textId="77777777" w:rsidR="007A7AEB" w:rsidRDefault="007A7AEB" w:rsidP="0048387E">
      <w:pPr>
        <w:rPr>
          <w:rFonts w:ascii="Times New Roman" w:hAnsi="Times New Roman" w:cs="Times New Roman"/>
          <w:b/>
          <w:u w:val="single"/>
        </w:rPr>
      </w:pPr>
    </w:p>
    <w:p w14:paraId="10F845AB" w14:textId="77777777" w:rsidR="00514D93" w:rsidRDefault="00514D93" w:rsidP="0048387E">
      <w:pPr>
        <w:rPr>
          <w:rFonts w:ascii="Times New Roman" w:hAnsi="Times New Roman" w:cs="Times New Roman"/>
          <w:b/>
          <w:u w:val="single"/>
        </w:rPr>
      </w:pPr>
    </w:p>
    <w:p w14:paraId="44EFE8D6" w14:textId="720DD225" w:rsidR="00514D93" w:rsidRDefault="00514D93" w:rsidP="0048387E">
      <w:pPr>
        <w:rPr>
          <w:rFonts w:ascii="Times New Roman" w:hAnsi="Times New Roman" w:cs="Times New Roman"/>
          <w:b/>
          <w:u w:val="single"/>
        </w:rPr>
      </w:pPr>
    </w:p>
    <w:p w14:paraId="0E1012F2" w14:textId="59EFEB1D" w:rsidR="00ED17F9" w:rsidRPr="00ED17F9" w:rsidRDefault="008F3B42" w:rsidP="0048387E">
      <w:pPr>
        <w:rPr>
          <w:rFonts w:ascii="Times New Roman" w:hAnsi="Times New Roman" w:cs="Times New Roman"/>
        </w:rPr>
      </w:pPr>
      <w:r>
        <w:rPr>
          <w:rFonts w:ascii="Times New Roman" w:hAnsi="Times New Roman" w:cs="Times New Roman"/>
        </w:rPr>
        <w:t>It is well-known that the SCEF ID is part of the monitoring event configuration. However, Stage-2 does not explain how the MME knows what IWK-SCEF to configure and to send</w:t>
      </w:r>
      <w:r w:rsidR="007871FD">
        <w:rPr>
          <w:rFonts w:ascii="Times New Roman" w:hAnsi="Times New Roman" w:cs="Times New Roman"/>
        </w:rPr>
        <w:t xml:space="preserve"> reports to. T</w:t>
      </w:r>
      <w:r>
        <w:rPr>
          <w:rFonts w:ascii="Times New Roman" w:hAnsi="Times New Roman" w:cs="Times New Roman"/>
        </w:rPr>
        <w:t xml:space="preserve">his is specified in stage-3. </w:t>
      </w:r>
      <w:r w:rsidR="00ED17F9" w:rsidRPr="00ED17F9">
        <w:rPr>
          <w:rFonts w:ascii="Times New Roman" w:hAnsi="Times New Roman" w:cs="Times New Roman"/>
        </w:rPr>
        <w:t>TS 29.128</w:t>
      </w:r>
      <w:r>
        <w:rPr>
          <w:rFonts w:ascii="Times New Roman" w:hAnsi="Times New Roman" w:cs="Times New Roman"/>
        </w:rPr>
        <w:t xml:space="preserve">, section 6.1.6.1 explains that the IWK-SCEF ID is preconfigured. </w:t>
      </w:r>
    </w:p>
    <w:p w14:paraId="20FC9811" w14:textId="356D636C" w:rsidR="00ED17F9" w:rsidRDefault="00ED17F9" w:rsidP="0048387E">
      <w:pPr>
        <w:rPr>
          <w:rFonts w:ascii="Times New Roman" w:hAnsi="Times New Roman" w:cs="Times New Roman"/>
          <w:b/>
          <w:u w:val="single"/>
        </w:rPr>
      </w:pPr>
    </w:p>
    <w:p w14:paraId="408BE480" w14:textId="2EEDC95B" w:rsidR="00ED17F9" w:rsidRDefault="00ED17F9" w:rsidP="0048387E">
      <w:pPr>
        <w:rPr>
          <w:rFonts w:ascii="Times New Roman" w:hAnsi="Times New Roman" w:cs="Times New Roman"/>
          <w:b/>
          <w:u w:val="single"/>
        </w:rPr>
      </w:pPr>
      <w:r w:rsidRPr="00065D57">
        <w:rPr>
          <w:rFonts w:ascii="Times New Roman" w:hAnsi="Times New Roman" w:cs="Times New Roman"/>
          <w:noProof/>
        </w:rPr>
        <mc:AlternateContent>
          <mc:Choice Requires="wps">
            <w:drawing>
              <wp:anchor distT="45720" distB="45720" distL="114300" distR="114300" simplePos="0" relativeHeight="251669504" behindDoc="0" locked="0" layoutInCell="1" allowOverlap="1" wp14:anchorId="73526B6B" wp14:editId="2565D1E9">
                <wp:simplePos x="0" y="0"/>
                <wp:positionH relativeFrom="margin">
                  <wp:align>center</wp:align>
                </wp:positionH>
                <wp:positionV relativeFrom="paragraph">
                  <wp:posOffset>0</wp:posOffset>
                </wp:positionV>
                <wp:extent cx="6936105" cy="1404620"/>
                <wp:effectExtent l="0" t="0" r="17145" b="24130"/>
                <wp:wrapSquare wrapText="bothSides"/>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36105" cy="1404620"/>
                        </a:xfrm>
                        <a:prstGeom prst="rect">
                          <a:avLst/>
                        </a:prstGeom>
                        <a:solidFill>
                          <a:srgbClr val="FFFFFF"/>
                        </a:solidFill>
                        <a:ln w="9525">
                          <a:solidFill>
                            <a:srgbClr val="000000"/>
                          </a:solidFill>
                          <a:miter lim="800000"/>
                          <a:headEnd/>
                          <a:tailEnd/>
                        </a:ln>
                      </wps:spPr>
                      <wps:txbx>
                        <w:txbxContent>
                          <w:p w14:paraId="5D14BA8D" w14:textId="77777777" w:rsidR="00ED17F9" w:rsidRPr="00ED17F9" w:rsidRDefault="00ED17F9" w:rsidP="00ED17F9">
                            <w:pPr>
                              <w:rPr>
                                <w:rFonts w:ascii="Times New Roman" w:hAnsi="Times New Roman" w:cs="Times New Roman"/>
                                <w:sz w:val="20"/>
                              </w:rPr>
                            </w:pPr>
                            <w:r w:rsidRPr="00ED17F9">
                              <w:rPr>
                                <w:rFonts w:ascii="Times New Roman" w:hAnsi="Times New Roman" w:cs="Times New Roman"/>
                                <w:sz w:val="20"/>
                                <w:highlight w:val="yellow"/>
                              </w:rPr>
                              <w:t>The MME/SGSN shall use the SCEF-ID and the SCEF realm previously received over S6a/b for a monitoring event configuration</w:t>
                            </w:r>
                            <w:r w:rsidRPr="00ED17F9">
                              <w:rPr>
                                <w:rFonts w:ascii="Times New Roman" w:hAnsi="Times New Roman" w:cs="Times New Roman"/>
                                <w:sz w:val="20"/>
                              </w:rPr>
                              <w:t xml:space="preserve"> as the Destination-Host AVP and the Destination-Realm AVP in the Reporting-Information-Request for the monitoring event reports sent over the T6a/T6b or T6ai/bi interface. </w:t>
                            </w:r>
                          </w:p>
                          <w:p w14:paraId="7F45AA48" w14:textId="77777777" w:rsidR="00ED17F9" w:rsidRPr="00ED17F9" w:rsidRDefault="00ED17F9" w:rsidP="00ED17F9">
                            <w:pPr>
                              <w:rPr>
                                <w:rFonts w:ascii="Times New Roman" w:hAnsi="Times New Roman" w:cs="Times New Roman"/>
                                <w:sz w:val="20"/>
                              </w:rPr>
                            </w:pPr>
                            <w:r w:rsidRPr="00ED17F9">
                              <w:rPr>
                                <w:rFonts w:ascii="Times New Roman" w:hAnsi="Times New Roman" w:cs="Times New Roman"/>
                                <w:sz w:val="20"/>
                                <w:highlight w:val="yellow"/>
                              </w:rPr>
                              <w:t>The MME/SGSN shall use the pre-configured IWK-SCEF identify and the pre-configured IWK-SCEF</w:t>
                            </w:r>
                            <w:r w:rsidRPr="00ED17F9">
                              <w:rPr>
                                <w:rFonts w:ascii="Times New Roman" w:hAnsi="Times New Roman" w:cs="Times New Roman"/>
                                <w:sz w:val="20"/>
                              </w:rPr>
                              <w:t xml:space="preserve"> realm as the Destination-Host AVP and the Destination Realm AVP in the Configuration-Information-Request for the monitoring event configuration sent over the T6ai/bi interface. </w:t>
                            </w:r>
                          </w:p>
                          <w:p w14:paraId="51C9DA2A" w14:textId="2EA27E0C" w:rsidR="00ED17F9" w:rsidRPr="00514D93" w:rsidRDefault="00ED17F9" w:rsidP="00ED17F9">
                            <w:pPr>
                              <w:rPr>
                                <w:rFonts w:ascii="Times New Roman" w:eastAsia="Times New Roman" w:hAnsi="Times New Roman" w:cs="Times New Roman"/>
                                <w:sz w:val="18"/>
                                <w:szCs w:val="20"/>
                              </w:rPr>
                            </w:pPr>
                            <w:r w:rsidRPr="00ED17F9">
                              <w:rPr>
                                <w:rFonts w:ascii="Times New Roman" w:hAnsi="Times New Roman" w:cs="Times New Roman"/>
                                <w:sz w:val="20"/>
                              </w:rPr>
                              <w:t>The IWK-SCEF behaves as a Diameter Proxy agent according to IETF RFC 6733 [32] for the Reporting-Information-Request received from the MME/SGSN over the T6ai/bi interface and shall forward these requests to the SCEF over the T7 interface by keeping unchanged the Destination Realm and Destination Host AVPs.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3526B6B" id="Text Box 5" o:spid="_x0000_s1031" type="#_x0000_t202" style="position:absolute;margin-left:0;margin-top:0;width:546.15pt;height:110.6pt;z-index:251669504;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">
                <v:textbox style="mso-fit-shape-to-text:t">
                  <w:txbxContent>
                    <w:p w14:paraId="5D14BA8D" w14:textId="77777777" w:rsidR="00ED17F9" w:rsidRPr="00ED17F9" w:rsidRDefault="00ED17F9" w:rsidP="00ED17F9">
                      <w:pPr>
                        <w:rPr>
                          <w:rFonts w:ascii="Times New Roman" w:hAnsi="Times New Roman" w:cs="Times New Roman"/>
                          <w:sz w:val="20"/>
                        </w:rPr>
                      </w:pPr>
                      <w:r w:rsidRPr="00ED17F9">
                        <w:rPr>
                          <w:rFonts w:ascii="Times New Roman" w:hAnsi="Times New Roman" w:cs="Times New Roman"/>
                          <w:sz w:val="20"/>
                          <w:highlight w:val="yellow"/>
                        </w:rPr>
                        <w:t>The MME/SGSN shall use the SCEF-ID and the SCEF realm previously received over S6a/b for a monitoring event configuration</w:t>
                      </w:r>
                      <w:r w:rsidRPr="00ED17F9">
                        <w:rPr>
                          <w:rFonts w:ascii="Times New Roman" w:hAnsi="Times New Roman" w:cs="Times New Roman"/>
                          <w:sz w:val="20"/>
                        </w:rPr>
                        <w:t xml:space="preserve"> as the Destination-Host AVP and the Destination-Realm AVP in the Reporting-Information-Request for the monitoring event reports sent over the T6a/T6b or T6ai/bi interface. </w:t>
                      </w:r>
                    </w:p>
                    <w:p w14:paraId="7F45AA48" w14:textId="77777777" w:rsidR="00ED17F9" w:rsidRPr="00ED17F9" w:rsidRDefault="00ED17F9" w:rsidP="00ED17F9">
                      <w:pPr>
                        <w:rPr>
                          <w:rFonts w:ascii="Times New Roman" w:hAnsi="Times New Roman" w:cs="Times New Roman"/>
                          <w:sz w:val="20"/>
                        </w:rPr>
                      </w:pPr>
                      <w:r w:rsidRPr="00ED17F9">
                        <w:rPr>
                          <w:rFonts w:ascii="Times New Roman" w:hAnsi="Times New Roman" w:cs="Times New Roman"/>
                          <w:sz w:val="20"/>
                          <w:highlight w:val="yellow"/>
                        </w:rPr>
                        <w:t>The MME/SGSN shall use the pre-configured IWK-SCEF identify and the pre-configured IWK-SCEF</w:t>
                      </w:r>
                      <w:r w:rsidRPr="00ED17F9">
                        <w:rPr>
                          <w:rFonts w:ascii="Times New Roman" w:hAnsi="Times New Roman" w:cs="Times New Roman"/>
                          <w:sz w:val="20"/>
                        </w:rPr>
                        <w:t xml:space="preserve"> realm as the Destination-Host AVP and the Destination Realm AVP in the Configuration-Information-Request for the monitoring event configuration sent over the T6ai/bi interface. </w:t>
                      </w:r>
                    </w:p>
                    <w:p w14:paraId="51C9DA2A" w14:textId="2EA27E0C" w:rsidR="00ED17F9" w:rsidRPr="00514D93" w:rsidRDefault="00ED17F9" w:rsidP="00ED17F9">
                      <w:pPr>
                        <w:rPr>
                          <w:rFonts w:ascii="Times New Roman" w:eastAsia="Times New Roman" w:hAnsi="Times New Roman" w:cs="Times New Roman"/>
                          <w:sz w:val="18"/>
                          <w:szCs w:val="20"/>
                        </w:rPr>
                      </w:pPr>
                      <w:r w:rsidRPr="00ED17F9">
                        <w:rPr>
                          <w:rFonts w:ascii="Times New Roman" w:hAnsi="Times New Roman" w:cs="Times New Roman"/>
                          <w:sz w:val="20"/>
                        </w:rPr>
                        <w:t>The IWK-SCEF behaves as a Diameter Proxy agent according to IETF RFC 6733 [32] for the Reporting-Information-Request received from the MME/SGSN over the T6ai/bi interface and shall forward these requests to the SCEF over the T7 interface by keeping unchanged the Destination Realm and Destination Host AVPs.</w:t>
                      </w:r>
                    </w:p>
                  </w:txbxContent>
                </v:textbox>
                <w10:wrap type="square" anchorx="margin"/>
              </v:shape>
            </w:pict>
          </mc:Fallback>
        </mc:AlternateContent>
      </w:r>
    </w:p>
    <w:p w14:paraId="7DC03165" w14:textId="77777777" w:rsidR="00ED17F9" w:rsidRDefault="00ED17F9" w:rsidP="0048387E">
      <w:pPr>
        <w:rPr>
          <w:rFonts w:ascii="Times New Roman" w:hAnsi="Times New Roman" w:cs="Times New Roman"/>
          <w:b/>
          <w:u w:val="single"/>
        </w:rPr>
      </w:pPr>
    </w:p>
    <w:p w14:paraId="15C852E4" w14:textId="4120BD0F" w:rsidR="00ED17F9" w:rsidRDefault="00ED17F9" w:rsidP="0048387E">
      <w:pPr>
        <w:rPr>
          <w:rFonts w:ascii="Times New Roman" w:hAnsi="Times New Roman" w:cs="Times New Roman"/>
          <w:b/>
          <w:u w:val="single"/>
        </w:rPr>
      </w:pPr>
    </w:p>
    <w:p w14:paraId="2001C630" w14:textId="77777777" w:rsidR="00ED17F9" w:rsidRDefault="00ED17F9" w:rsidP="0048387E">
      <w:pPr>
        <w:rPr>
          <w:rFonts w:ascii="Times New Roman" w:hAnsi="Times New Roman" w:cs="Times New Roman"/>
          <w:b/>
          <w:u w:val="single"/>
        </w:rPr>
      </w:pPr>
    </w:p>
    <w:p w14:paraId="332FABFE" w14:textId="77777777" w:rsidR="00ED17F9" w:rsidRDefault="00ED17F9" w:rsidP="00C72335">
      <w:pPr>
        <w:rPr>
          <w:rFonts w:ascii="Times New Roman" w:hAnsi="Times New Roman" w:cs="Times New Roman"/>
          <w:b/>
          <w:u w:val="single"/>
        </w:rPr>
      </w:pPr>
    </w:p>
    <w:p w14:paraId="01013A55" w14:textId="77777777" w:rsidR="00ED17F9" w:rsidRDefault="00ED17F9" w:rsidP="00C72335">
      <w:pPr>
        <w:rPr>
          <w:rFonts w:ascii="Times New Roman" w:hAnsi="Times New Roman" w:cs="Times New Roman"/>
          <w:b/>
          <w:u w:val="single"/>
        </w:rPr>
      </w:pPr>
    </w:p>
    <w:p w14:paraId="330E1FBB" w14:textId="77777777" w:rsidR="00ED17F9" w:rsidRDefault="00ED17F9" w:rsidP="00C72335">
      <w:pPr>
        <w:rPr>
          <w:rFonts w:ascii="Times New Roman" w:hAnsi="Times New Roman" w:cs="Times New Roman"/>
          <w:b/>
          <w:u w:val="single"/>
        </w:rPr>
      </w:pPr>
    </w:p>
    <w:p w14:paraId="0DA0273A" w14:textId="27278B0C" w:rsidR="00C72335" w:rsidRDefault="00C72335" w:rsidP="00C72335">
      <w:pPr>
        <w:rPr>
          <w:rFonts w:ascii="Times New Roman" w:hAnsi="Times New Roman" w:cs="Times New Roman"/>
          <w:b/>
          <w:u w:val="single"/>
        </w:rPr>
      </w:pPr>
      <w:r>
        <w:rPr>
          <w:rFonts w:ascii="Times New Roman" w:hAnsi="Times New Roman" w:cs="Times New Roman"/>
          <w:b/>
          <w:u w:val="single"/>
        </w:rPr>
        <w:t>Observation 1:</w:t>
      </w:r>
    </w:p>
    <w:p w14:paraId="27E9B84A" w14:textId="03657392" w:rsidR="00C72335" w:rsidRDefault="00C72335" w:rsidP="00C72335">
      <w:pPr>
        <w:rPr>
          <w:rFonts w:ascii="Times New Roman" w:hAnsi="Times New Roman" w:cs="Times New Roman"/>
        </w:rPr>
      </w:pPr>
      <w:r>
        <w:rPr>
          <w:rFonts w:ascii="Times New Roman" w:hAnsi="Times New Roman" w:cs="Times New Roman"/>
        </w:rPr>
        <w:t>Based on the study conclusion, it is clear that the IW</w:t>
      </w:r>
      <w:r w:rsidR="00792EBC">
        <w:rPr>
          <w:rFonts w:ascii="Times New Roman" w:hAnsi="Times New Roman" w:cs="Times New Roman"/>
        </w:rPr>
        <w:t>K</w:t>
      </w:r>
      <w:r>
        <w:rPr>
          <w:rFonts w:ascii="Times New Roman" w:hAnsi="Times New Roman" w:cs="Times New Roman"/>
        </w:rPr>
        <w:t>-NEF is also state-</w:t>
      </w:r>
      <w:r w:rsidR="008F3B42">
        <w:rPr>
          <w:rFonts w:ascii="Times New Roman" w:hAnsi="Times New Roman" w:cs="Times New Roman"/>
        </w:rPr>
        <w:t>full</w:t>
      </w:r>
      <w:r>
        <w:rPr>
          <w:rFonts w:ascii="Times New Roman" w:hAnsi="Times New Roman" w:cs="Times New Roman"/>
        </w:rPr>
        <w:t>.</w:t>
      </w:r>
    </w:p>
    <w:p w14:paraId="126FB37B" w14:textId="5174AA86" w:rsidR="002A03B0" w:rsidRDefault="004311AD" w:rsidP="0048387E">
      <w:pPr>
        <w:rPr>
          <w:rFonts w:ascii="Times New Roman" w:hAnsi="Times New Roman" w:cs="Times New Roman"/>
          <w:b/>
          <w:u w:val="single"/>
        </w:rPr>
      </w:pPr>
      <w:r>
        <w:rPr>
          <w:rFonts w:ascii="Times New Roman" w:hAnsi="Times New Roman" w:cs="Times New Roman"/>
          <w:b/>
          <w:u w:val="single"/>
        </w:rPr>
        <w:t>Problem Statement / Question</w:t>
      </w:r>
      <w:r w:rsidR="002A03B0">
        <w:rPr>
          <w:rFonts w:ascii="Times New Roman" w:hAnsi="Times New Roman" w:cs="Times New Roman"/>
          <w:b/>
          <w:u w:val="single"/>
        </w:rPr>
        <w:t>:</w:t>
      </w:r>
    </w:p>
    <w:p w14:paraId="6A96248B" w14:textId="4368AFB9" w:rsidR="002A03B0" w:rsidRDefault="002A03B0" w:rsidP="0048387E">
      <w:pPr>
        <w:rPr>
          <w:rFonts w:ascii="Times New Roman" w:hAnsi="Times New Roman" w:cs="Times New Roman"/>
        </w:rPr>
      </w:pPr>
      <w:r>
        <w:rPr>
          <w:rFonts w:ascii="Times New Roman" w:hAnsi="Times New Roman" w:cs="Times New Roman"/>
        </w:rPr>
        <w:t xml:space="preserve">In the study phase, it was not considered how to handle the interworking case where IWK-SCEF functionality is desired when </w:t>
      </w:r>
      <w:r w:rsidR="00ED335F">
        <w:rPr>
          <w:rFonts w:ascii="Times New Roman" w:hAnsi="Times New Roman" w:cs="Times New Roman"/>
        </w:rPr>
        <w:t xml:space="preserve">the UE is </w:t>
      </w:r>
      <w:r>
        <w:rPr>
          <w:rFonts w:ascii="Times New Roman" w:hAnsi="Times New Roman" w:cs="Times New Roman"/>
        </w:rPr>
        <w:t xml:space="preserve">connected to EPC and IWK-NEF functionality is desired when </w:t>
      </w:r>
      <w:r w:rsidR="00ED335F">
        <w:rPr>
          <w:rFonts w:ascii="Times New Roman" w:hAnsi="Times New Roman" w:cs="Times New Roman"/>
        </w:rPr>
        <w:t xml:space="preserve">the UE is </w:t>
      </w:r>
      <w:r>
        <w:rPr>
          <w:rFonts w:ascii="Times New Roman" w:hAnsi="Times New Roman" w:cs="Times New Roman"/>
        </w:rPr>
        <w:t>connected to 5GC.</w:t>
      </w:r>
    </w:p>
    <w:p w14:paraId="56DE9CB8" w14:textId="1F0EF987" w:rsidR="002A03B0" w:rsidRDefault="00C72335" w:rsidP="0048387E">
      <w:pPr>
        <w:rPr>
          <w:rFonts w:ascii="Times New Roman" w:hAnsi="Times New Roman" w:cs="Times New Roman"/>
        </w:rPr>
      </w:pPr>
      <w:r>
        <w:rPr>
          <w:rFonts w:ascii="Times New Roman" w:hAnsi="Times New Roman" w:cs="Times New Roman"/>
        </w:rPr>
        <w:t xml:space="preserve">This scenario </w:t>
      </w:r>
      <w:r w:rsidR="004311AD">
        <w:rPr>
          <w:rFonts w:ascii="Times New Roman" w:hAnsi="Times New Roman" w:cs="Times New Roman"/>
        </w:rPr>
        <w:t>warrants</w:t>
      </w:r>
      <w:r>
        <w:rPr>
          <w:rFonts w:ascii="Times New Roman" w:hAnsi="Times New Roman" w:cs="Times New Roman"/>
        </w:rPr>
        <w:t xml:space="preserve"> some further </w:t>
      </w:r>
      <w:r w:rsidR="00ED335F">
        <w:rPr>
          <w:rFonts w:ascii="Times New Roman" w:hAnsi="Times New Roman" w:cs="Times New Roman"/>
        </w:rPr>
        <w:t>discussion</w:t>
      </w:r>
      <w:r>
        <w:rPr>
          <w:rFonts w:ascii="Times New Roman" w:hAnsi="Times New Roman" w:cs="Times New Roman"/>
        </w:rPr>
        <w:t>. Consider the following example………..T</w:t>
      </w:r>
      <w:r w:rsidRPr="00C72335">
        <w:rPr>
          <w:rFonts w:ascii="Times New Roman" w:hAnsi="Times New Roman" w:cs="Times New Roman"/>
        </w:rPr>
        <w:t xml:space="preserve">he UE is attached to EPC and the monitoring event is configured (per section 5.6.6.1 of TS 23.682).  As part of this procedure, the IWK-SCEF </w:t>
      </w:r>
      <w:r>
        <w:rPr>
          <w:rFonts w:ascii="Times New Roman" w:hAnsi="Times New Roman" w:cs="Times New Roman"/>
        </w:rPr>
        <w:t xml:space="preserve">will </w:t>
      </w:r>
      <w:r w:rsidRPr="00C72335">
        <w:rPr>
          <w:rFonts w:ascii="Times New Roman" w:hAnsi="Times New Roman" w:cs="Times New Roman"/>
        </w:rPr>
        <w:t xml:space="preserve">be configured. </w:t>
      </w:r>
      <w:r w:rsidR="00ED335F" w:rsidRPr="0097203E">
        <w:rPr>
          <w:rFonts w:ascii="Times New Roman" w:hAnsi="Times New Roman" w:cs="Times New Roman"/>
          <w:b/>
          <w:u w:val="single"/>
        </w:rPr>
        <w:t xml:space="preserve">How and when is the IWK-NEF configured? </w:t>
      </w:r>
      <w:r w:rsidRPr="0097203E">
        <w:rPr>
          <w:rFonts w:ascii="Times New Roman" w:hAnsi="Times New Roman" w:cs="Times New Roman"/>
          <w:b/>
          <w:u w:val="single"/>
        </w:rPr>
        <w:t>When the UE moves to 5GC, how does</w:t>
      </w:r>
      <w:r w:rsidR="00ED335F" w:rsidRPr="0097203E">
        <w:rPr>
          <w:rFonts w:ascii="Times New Roman" w:hAnsi="Times New Roman" w:cs="Times New Roman"/>
          <w:b/>
          <w:u w:val="single"/>
        </w:rPr>
        <w:t xml:space="preserve"> the monitoring state get transferred from the IWK-S</w:t>
      </w:r>
      <w:r w:rsidR="00ED335F" w:rsidRPr="00ED335F">
        <w:rPr>
          <w:rFonts w:ascii="Times New Roman" w:hAnsi="Times New Roman" w:cs="Times New Roman"/>
          <w:b/>
          <w:u w:val="single"/>
        </w:rPr>
        <w:t>CEF to</w:t>
      </w:r>
      <w:r w:rsidRPr="00ED335F">
        <w:rPr>
          <w:rFonts w:ascii="Times New Roman" w:hAnsi="Times New Roman" w:cs="Times New Roman"/>
          <w:b/>
          <w:u w:val="single"/>
        </w:rPr>
        <w:t xml:space="preserve"> the IWK-NEF</w:t>
      </w:r>
      <w:r w:rsidRPr="00ED335F">
        <w:rPr>
          <w:rFonts w:ascii="Times New Roman" w:hAnsi="Times New Roman" w:cs="Times New Roman"/>
          <w:b/>
        </w:rPr>
        <w:t>?</w:t>
      </w:r>
      <w:r w:rsidR="00ED335F">
        <w:rPr>
          <w:rFonts w:ascii="Times New Roman" w:hAnsi="Times New Roman" w:cs="Times New Roman"/>
        </w:rPr>
        <w:t xml:space="preserve"> </w:t>
      </w:r>
    </w:p>
    <w:p w14:paraId="6D11B4D8" w14:textId="125D09C4" w:rsidR="002A03B0" w:rsidRPr="004311AD" w:rsidRDefault="004311AD" w:rsidP="0048387E">
      <w:pPr>
        <w:rPr>
          <w:rFonts w:ascii="Times New Roman" w:hAnsi="Times New Roman" w:cs="Times New Roman"/>
          <w:b/>
          <w:u w:val="single"/>
        </w:rPr>
      </w:pPr>
      <w:r w:rsidRPr="004311AD">
        <w:rPr>
          <w:rFonts w:ascii="Times New Roman" w:hAnsi="Times New Roman" w:cs="Times New Roman"/>
          <w:b/>
          <w:u w:val="single"/>
        </w:rPr>
        <w:t>Solution 1:</w:t>
      </w:r>
    </w:p>
    <w:p w14:paraId="164C4D57" w14:textId="20E60C39" w:rsidR="004311AD" w:rsidRDefault="0097203E" w:rsidP="0048387E">
      <w:pPr>
        <w:rPr>
          <w:rFonts w:ascii="Times New Roman" w:hAnsi="Times New Roman" w:cs="Times New Roman"/>
        </w:rPr>
      </w:pPr>
      <w:r>
        <w:rPr>
          <w:rFonts w:ascii="Times New Roman" w:hAnsi="Times New Roman" w:cs="Times New Roman"/>
        </w:rPr>
        <w:t xml:space="preserve">When the MME </w:t>
      </w:r>
      <w:r w:rsidR="004311AD">
        <w:rPr>
          <w:rFonts w:ascii="Times New Roman" w:hAnsi="Times New Roman" w:cs="Times New Roman"/>
        </w:rPr>
        <w:t>configures the IWK-SCEF, it also configures the IWK</w:t>
      </w:r>
      <w:r>
        <w:rPr>
          <w:rFonts w:ascii="Times New Roman" w:hAnsi="Times New Roman" w:cs="Times New Roman"/>
        </w:rPr>
        <w:t>-NEF</w:t>
      </w:r>
      <w:r w:rsidR="004311AD">
        <w:rPr>
          <w:rFonts w:ascii="Times New Roman" w:hAnsi="Times New Roman" w:cs="Times New Roman"/>
        </w:rPr>
        <w:t>. This approach would require that the MM</w:t>
      </w:r>
      <w:r>
        <w:rPr>
          <w:rFonts w:ascii="Times New Roman" w:hAnsi="Times New Roman" w:cs="Times New Roman"/>
        </w:rPr>
        <w:t xml:space="preserve">E </w:t>
      </w:r>
      <w:r w:rsidR="004311AD">
        <w:rPr>
          <w:rFonts w:ascii="Times New Roman" w:hAnsi="Times New Roman" w:cs="Times New Roman"/>
        </w:rPr>
        <w:t xml:space="preserve">be </w:t>
      </w:r>
      <w:r w:rsidR="00ED17F9">
        <w:rPr>
          <w:rFonts w:ascii="Times New Roman" w:hAnsi="Times New Roman" w:cs="Times New Roman"/>
        </w:rPr>
        <w:t>pre-configured with both an IWK-SCEF and IWK-NEF identity</w:t>
      </w:r>
      <w:r w:rsidR="004311AD">
        <w:rPr>
          <w:rFonts w:ascii="Times New Roman" w:hAnsi="Times New Roman" w:cs="Times New Roman"/>
        </w:rPr>
        <w:t>.</w:t>
      </w:r>
      <w:r w:rsidR="00ED17F9">
        <w:rPr>
          <w:rFonts w:ascii="Times New Roman" w:hAnsi="Times New Roman" w:cs="Times New Roman"/>
        </w:rPr>
        <w:t xml:space="preserve"> Furthermore, any state that is stored in the IWK-SCEF would have to be transferred to the IWK-NEF wh</w:t>
      </w:r>
      <w:r>
        <w:rPr>
          <w:rFonts w:ascii="Times New Roman" w:hAnsi="Times New Roman" w:cs="Times New Roman"/>
        </w:rPr>
        <w:t>en the UE moves from EPC to 5GC</w:t>
      </w:r>
      <w:r w:rsidR="00ED17F9">
        <w:rPr>
          <w:rFonts w:ascii="Times New Roman" w:hAnsi="Times New Roman" w:cs="Times New Roman"/>
        </w:rPr>
        <w:t>.</w:t>
      </w:r>
      <w:r>
        <w:rPr>
          <w:rFonts w:ascii="Times New Roman" w:hAnsi="Times New Roman" w:cs="Times New Roman"/>
        </w:rPr>
        <w:t xml:space="preserve"> OF course, we would also need to take a similar approach for the case where the UE moves from 5GC to EPC.</w:t>
      </w:r>
    </w:p>
    <w:p w14:paraId="20F44E7B" w14:textId="3A6AFB85" w:rsidR="004311AD" w:rsidRPr="00193BAA" w:rsidRDefault="004311AD" w:rsidP="0048387E">
      <w:pPr>
        <w:rPr>
          <w:rFonts w:ascii="Times New Roman" w:hAnsi="Times New Roman" w:cs="Times New Roman"/>
          <w:b/>
          <w:u w:val="single"/>
        </w:rPr>
      </w:pPr>
      <w:r w:rsidRPr="00193BAA">
        <w:rPr>
          <w:rFonts w:ascii="Times New Roman" w:hAnsi="Times New Roman" w:cs="Times New Roman"/>
          <w:b/>
          <w:u w:val="single"/>
        </w:rPr>
        <w:t>Solution 2:</w:t>
      </w:r>
    </w:p>
    <w:p w14:paraId="07793B1F" w14:textId="023141DE" w:rsidR="00353833" w:rsidRDefault="004311AD" w:rsidP="00353833">
      <w:pPr>
        <w:rPr>
          <w:rFonts w:ascii="Times New Roman" w:hAnsi="Times New Roman" w:cs="Times New Roman"/>
        </w:rPr>
      </w:pPr>
      <w:r>
        <w:rPr>
          <w:rFonts w:ascii="Times New Roman" w:hAnsi="Times New Roman" w:cs="Times New Roman"/>
        </w:rPr>
        <w:t xml:space="preserve">When interworking is </w:t>
      </w:r>
      <w:r w:rsidR="00353833">
        <w:rPr>
          <w:rFonts w:ascii="Times New Roman" w:hAnsi="Times New Roman" w:cs="Times New Roman"/>
        </w:rPr>
        <w:t>possible, the IWK-SCEF identity should point to a combined node that implements both IWK-SCEF and IWK-NEF functionality. The advantage of this approach is that the EPC specification would not need to change, configuring of the combined node would only need to occur once, and no state information would need to be transferred between nodes when a UE moves from EPC to 5GC (or vice versa).</w:t>
      </w:r>
    </w:p>
    <w:p w14:paraId="36B88E88" w14:textId="759B6F9B" w:rsidR="00353833" w:rsidRDefault="00353833" w:rsidP="00353833">
      <w:pPr>
        <w:rPr>
          <w:rFonts w:ascii="Times New Roman" w:hAnsi="Times New Roman" w:cs="Times New Roman"/>
        </w:rPr>
      </w:pPr>
      <w:r>
        <w:rPr>
          <w:rFonts w:ascii="Times New Roman" w:hAnsi="Times New Roman" w:cs="Times New Roman"/>
        </w:rPr>
        <w:t>Of course, the AMFs and MMEs that the UE may connect to would need to all be configured with the same IWK node identity. However, this situation exists in EPC in the sense that all MMEs need to be configured with the same IW</w:t>
      </w:r>
      <w:r w:rsidR="00792EBC">
        <w:rPr>
          <w:rFonts w:ascii="Times New Roman" w:hAnsi="Times New Roman" w:cs="Times New Roman"/>
        </w:rPr>
        <w:t>K</w:t>
      </w:r>
      <w:r>
        <w:rPr>
          <w:rFonts w:ascii="Times New Roman" w:hAnsi="Times New Roman" w:cs="Times New Roman"/>
        </w:rPr>
        <w:t>-SCEF node identity.</w:t>
      </w:r>
    </w:p>
    <w:p w14:paraId="507C04CD" w14:textId="732C113A" w:rsidR="00353833" w:rsidRDefault="00353833" w:rsidP="00353833">
      <w:pPr>
        <w:rPr>
          <w:rFonts w:ascii="Times New Roman" w:hAnsi="Times New Roman" w:cs="Times New Roman"/>
        </w:rPr>
      </w:pPr>
      <w:r>
        <w:rPr>
          <w:rFonts w:ascii="Times New Roman" w:hAnsi="Times New Roman" w:cs="Times New Roman"/>
        </w:rPr>
        <w:t>This approach would also be consistent with the agreed SCEF+NEF approach.</w:t>
      </w:r>
    </w:p>
    <w:p w14:paraId="353FFD27" w14:textId="617D36B5" w:rsidR="004311AD" w:rsidRPr="00353833" w:rsidRDefault="00353833" w:rsidP="0048387E">
      <w:pPr>
        <w:rPr>
          <w:rFonts w:ascii="Times New Roman" w:hAnsi="Times New Roman" w:cs="Times New Roman"/>
          <w:b/>
          <w:u w:val="single"/>
        </w:rPr>
      </w:pPr>
      <w:r>
        <w:rPr>
          <w:rFonts w:ascii="Times New Roman" w:hAnsi="Times New Roman" w:cs="Times New Roman"/>
          <w:b/>
          <w:u w:val="single"/>
        </w:rPr>
        <w:t xml:space="preserve">Proposal 1: </w:t>
      </w:r>
      <w:r w:rsidRPr="00353833">
        <w:rPr>
          <w:rFonts w:ascii="Times New Roman" w:hAnsi="Times New Roman" w:cs="Times New Roman"/>
          <w:b/>
          <w:u w:val="single"/>
        </w:rPr>
        <w:t>It is proposed to take the approach that is described in Solution 2.</w:t>
      </w:r>
    </w:p>
    <w:p w14:paraId="135DC595" w14:textId="77777777" w:rsidR="004311AD" w:rsidRPr="002A03B0" w:rsidRDefault="004311AD" w:rsidP="0048387E">
      <w:pPr>
        <w:rPr>
          <w:rFonts w:ascii="Times New Roman" w:hAnsi="Times New Roman" w:cs="Times New Roman"/>
        </w:rPr>
      </w:pPr>
    </w:p>
    <w:sectPr w:rsidR="004311AD" w:rsidRPr="002A03B0" w:rsidSect="00B44D5A">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F8869D3"/>
    <w:multiLevelType w:val="hybridMultilevel"/>
    <w:tmpl w:val="2FE606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4A97"/>
    <w:rsid w:val="00065D57"/>
    <w:rsid w:val="0007566C"/>
    <w:rsid w:val="000E71CB"/>
    <w:rsid w:val="00105A09"/>
    <w:rsid w:val="00115340"/>
    <w:rsid w:val="00135A33"/>
    <w:rsid w:val="00193BAA"/>
    <w:rsid w:val="001A740A"/>
    <w:rsid w:val="001E7926"/>
    <w:rsid w:val="001F2686"/>
    <w:rsid w:val="001F4010"/>
    <w:rsid w:val="002A03B0"/>
    <w:rsid w:val="002A3C1C"/>
    <w:rsid w:val="00353833"/>
    <w:rsid w:val="004311AD"/>
    <w:rsid w:val="0048387E"/>
    <w:rsid w:val="004D4A97"/>
    <w:rsid w:val="004E62C4"/>
    <w:rsid w:val="00514D93"/>
    <w:rsid w:val="00574BEF"/>
    <w:rsid w:val="005C314E"/>
    <w:rsid w:val="005D2BEA"/>
    <w:rsid w:val="005D5604"/>
    <w:rsid w:val="006D4829"/>
    <w:rsid w:val="00751706"/>
    <w:rsid w:val="007871FD"/>
    <w:rsid w:val="00792EBC"/>
    <w:rsid w:val="007A7AEB"/>
    <w:rsid w:val="008211B6"/>
    <w:rsid w:val="00821E2B"/>
    <w:rsid w:val="00882B2A"/>
    <w:rsid w:val="008E4DB1"/>
    <w:rsid w:val="008F3B42"/>
    <w:rsid w:val="0090664D"/>
    <w:rsid w:val="00932C23"/>
    <w:rsid w:val="00955979"/>
    <w:rsid w:val="00970B55"/>
    <w:rsid w:val="0097203E"/>
    <w:rsid w:val="009739EA"/>
    <w:rsid w:val="009A2690"/>
    <w:rsid w:val="009F01CD"/>
    <w:rsid w:val="00A14361"/>
    <w:rsid w:val="00AB0CCE"/>
    <w:rsid w:val="00B44D5A"/>
    <w:rsid w:val="00B86C9B"/>
    <w:rsid w:val="00B9748C"/>
    <w:rsid w:val="00BB3430"/>
    <w:rsid w:val="00BC3F09"/>
    <w:rsid w:val="00BD775D"/>
    <w:rsid w:val="00C14799"/>
    <w:rsid w:val="00C72335"/>
    <w:rsid w:val="00CB5331"/>
    <w:rsid w:val="00D04706"/>
    <w:rsid w:val="00D74869"/>
    <w:rsid w:val="00E95AB7"/>
    <w:rsid w:val="00ED17F9"/>
    <w:rsid w:val="00ED335F"/>
    <w:rsid w:val="00EE54DC"/>
    <w:rsid w:val="00EF0A73"/>
    <w:rsid w:val="00EF63AF"/>
    <w:rsid w:val="00F12D51"/>
    <w:rsid w:val="00F46DFF"/>
    <w:rsid w:val="00FB4EBA"/>
    <w:rsid w:val="00FF7C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8D8DFA"/>
  <w15:chartTrackingRefBased/>
  <w15:docId w15:val="{077A5AEB-092C-434C-A722-E8468E2472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next w:val="Normal"/>
    <w:link w:val="Heading1Char"/>
    <w:qFormat/>
    <w:rsid w:val="0007566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D4A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D2BEA"/>
    <w:pPr>
      <w:ind w:left="720"/>
      <w:contextualSpacing/>
    </w:pPr>
  </w:style>
  <w:style w:type="character" w:customStyle="1" w:styleId="Heading1Char">
    <w:name w:val="Heading 1 Char"/>
    <w:basedOn w:val="DefaultParagraphFont"/>
    <w:link w:val="Heading1"/>
    <w:rsid w:val="0007566C"/>
    <w:rPr>
      <w:rFonts w:ascii="Arial" w:eastAsia="SimSun" w:hAnsi="Arial" w:cs="Times New Roman"/>
      <w:sz w:val="36"/>
      <w:szCs w:val="20"/>
      <w:lang w:val="en-GB" w:eastAsia="ja-JP"/>
    </w:rPr>
  </w:style>
  <w:style w:type="paragraph" w:customStyle="1" w:styleId="NO">
    <w:name w:val="NO"/>
    <w:basedOn w:val="Normal"/>
    <w:link w:val="NOZchn"/>
    <w:qFormat/>
    <w:rsid w:val="00065D57"/>
    <w:pPr>
      <w:keepLines/>
      <w:spacing w:after="180" w:line="240" w:lineRule="auto"/>
      <w:ind w:left="1135" w:hanging="851"/>
    </w:pPr>
    <w:rPr>
      <w:rFonts w:ascii="Times New Roman" w:eastAsia="Times New Roman" w:hAnsi="Times New Roman" w:cs="Times New Roman"/>
      <w:sz w:val="20"/>
      <w:szCs w:val="20"/>
      <w:lang w:val="en-GB" w:eastAsia="x-none"/>
    </w:rPr>
  </w:style>
  <w:style w:type="character" w:customStyle="1" w:styleId="NOZchn">
    <w:name w:val="NO Zchn"/>
    <w:link w:val="NO"/>
    <w:rsid w:val="00065D57"/>
    <w:rPr>
      <w:rFonts w:ascii="Times New Roman" w:eastAsia="Times New Roman" w:hAnsi="Times New Roman" w:cs="Times New Roman"/>
      <w:sz w:val="20"/>
      <w:szCs w:val="20"/>
      <w:lang w:val="en-GB" w:eastAsia="x-none"/>
    </w:rPr>
  </w:style>
  <w:style w:type="paragraph" w:customStyle="1" w:styleId="B1">
    <w:name w:val="B1"/>
    <w:basedOn w:val="List"/>
    <w:link w:val="B1Char"/>
    <w:qFormat/>
    <w:rsid w:val="00065D57"/>
    <w:pPr>
      <w:spacing w:after="180" w:line="240" w:lineRule="auto"/>
      <w:ind w:left="568" w:hanging="284"/>
      <w:contextualSpacing w:val="0"/>
    </w:pPr>
    <w:rPr>
      <w:rFonts w:ascii="Times New Roman" w:eastAsia="Times New Roman" w:hAnsi="Times New Roman" w:cs="Times New Roman"/>
      <w:sz w:val="20"/>
      <w:szCs w:val="20"/>
      <w:lang w:val="en-GB" w:eastAsia="x-none"/>
    </w:rPr>
  </w:style>
  <w:style w:type="character" w:customStyle="1" w:styleId="B1Char">
    <w:name w:val="B1 Char"/>
    <w:link w:val="B1"/>
    <w:rsid w:val="00065D57"/>
    <w:rPr>
      <w:rFonts w:ascii="Times New Roman" w:eastAsia="Times New Roman" w:hAnsi="Times New Roman" w:cs="Times New Roman"/>
      <w:sz w:val="20"/>
      <w:szCs w:val="20"/>
      <w:lang w:val="en-GB" w:eastAsia="x-none"/>
    </w:rPr>
  </w:style>
  <w:style w:type="paragraph" w:styleId="List">
    <w:name w:val="List"/>
    <w:basedOn w:val="Normal"/>
    <w:uiPriority w:val="99"/>
    <w:semiHidden/>
    <w:unhideWhenUsed/>
    <w:rsid w:val="00065D57"/>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5957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F637E37756BC543ABFEEBD524340F89" ma:contentTypeVersion="0" ma:contentTypeDescription="Create a new document." ma:contentTypeScope="" ma:versionID="bde3727cd73fecd959ec05470d6d59d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7635B5-8382-47B3-A7C1-0DFACA54903F}">
  <ds:schemaRefs>
    <ds:schemaRef ds:uri="http://schemas.microsoft.com/sharepoint/v3/contenttype/forms"/>
  </ds:schemaRefs>
</ds:datastoreItem>
</file>

<file path=customXml/itemProps2.xml><?xml version="1.0" encoding="utf-8"?>
<ds:datastoreItem xmlns:ds="http://schemas.openxmlformats.org/officeDocument/2006/customXml" ds:itemID="{2BEF9433-7351-4A46-9A93-73ABED026B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A22E280B-751B-4D73-9F98-56111F798848}">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E17A2362-193A-4AF4-BAFE-120E6224A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379</TotalTime>
  <Pages>4</Pages>
  <Words>551</Words>
  <Characters>3144</Characters>
  <Application>Microsoft Office Word</Application>
  <DocSecurity>0</DocSecurity>
  <Lines>26</Lines>
  <Paragraphs>7</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1	Discussion on IWK-NEF Functionality</vt:lpstr>
      <vt:lpstr>2	Discussion on How to Document the IWK-NEF Functionality</vt:lpstr>
    </vt:vector>
  </TitlesOfParts>
  <Company/>
  <LinksUpToDate>false</LinksUpToDate>
  <CharactersWithSpaces>3688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S2-1812358</dc:creator>
  <cp:keywords/>
  <dc:description/>
  <cp:lastModifiedBy>Michael Starsinic</cp:lastModifiedBy>
  <cp:revision>26</cp:revision>
  <dcterms:created xsi:type="dcterms:W3CDTF">2018-12-14T10:29:00Z</dcterms:created>
  <dcterms:modified xsi:type="dcterms:W3CDTF">2019-01-15T01:44:00Z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0x010100EF637E37756BC543ABFEEBD524340F89</vt:lpwstr>
  </property>
</Properties>
</file>